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EF8A5F" w14:textId="51B7F894" w:rsidR="00DA7D6D" w:rsidRPr="003B0EB7" w:rsidRDefault="00074045">
      <w:pPr>
        <w:rPr>
          <w:rFonts w:cstheme="minorHAnsi"/>
          <w:b/>
          <w:bCs/>
        </w:rPr>
      </w:pPr>
      <w:r w:rsidRPr="003B0EB7">
        <w:rPr>
          <w:rFonts w:cstheme="minorHAnsi"/>
          <w:b/>
          <w:bCs/>
        </w:rPr>
        <w:t>SINTESI DELLE OSSERVAZIONI CONTENUTE NEL PARERE REGIONALE SUL PTCP</w:t>
      </w:r>
    </w:p>
    <w:tbl>
      <w:tblPr>
        <w:tblStyle w:val="Grigliatabella"/>
        <w:tblW w:w="0" w:type="auto"/>
        <w:tblLook w:val="06A0" w:firstRow="1" w:lastRow="0" w:firstColumn="1" w:lastColumn="0" w:noHBand="1" w:noVBand="1"/>
      </w:tblPr>
      <w:tblGrid>
        <w:gridCol w:w="7020"/>
        <w:gridCol w:w="1200"/>
        <w:gridCol w:w="1408"/>
      </w:tblGrid>
      <w:tr w:rsidR="008047F2" w:rsidRPr="003B0EB7" w14:paraId="7B418C95" w14:textId="77777777" w:rsidTr="0036150F">
        <w:trPr>
          <w:tblHeader/>
        </w:trPr>
        <w:tc>
          <w:tcPr>
            <w:tcW w:w="7020" w:type="dxa"/>
          </w:tcPr>
          <w:p w14:paraId="04F12B27" w14:textId="7AC9A955" w:rsidR="008047F2" w:rsidRPr="003B0EB7" w:rsidRDefault="003B0EB7" w:rsidP="00AC5DFD">
            <w:pPr>
              <w:spacing w:before="120" w:after="120"/>
              <w:jc w:val="center"/>
              <w:rPr>
                <w:rFonts w:cstheme="minorHAnsi"/>
                <w:b/>
                <w:bCs/>
              </w:rPr>
            </w:pPr>
            <w:r w:rsidRPr="003B0EB7">
              <w:rPr>
                <w:rFonts w:cstheme="minorHAnsi"/>
                <w:b/>
                <w:bCs/>
              </w:rPr>
              <w:t>OSSERVAZIONE</w:t>
            </w:r>
          </w:p>
        </w:tc>
        <w:tc>
          <w:tcPr>
            <w:tcW w:w="1200" w:type="dxa"/>
          </w:tcPr>
          <w:p w14:paraId="3311362F" w14:textId="2EB8824E" w:rsidR="008047F2" w:rsidRPr="003B0EB7" w:rsidRDefault="003B0EB7" w:rsidP="00AC5DFD">
            <w:pPr>
              <w:spacing w:before="120" w:after="120"/>
              <w:jc w:val="center"/>
              <w:rPr>
                <w:rFonts w:cstheme="minorHAnsi"/>
                <w:b/>
                <w:bCs/>
              </w:rPr>
            </w:pPr>
            <w:r w:rsidRPr="003B0EB7">
              <w:rPr>
                <w:rFonts w:cstheme="minorHAnsi"/>
                <w:b/>
                <w:bCs/>
              </w:rPr>
              <w:t>REFERENTI</w:t>
            </w:r>
          </w:p>
        </w:tc>
        <w:tc>
          <w:tcPr>
            <w:tcW w:w="1408" w:type="dxa"/>
          </w:tcPr>
          <w:p w14:paraId="365879B3" w14:textId="6F8AC475" w:rsidR="008047F2" w:rsidRPr="003B0EB7" w:rsidRDefault="003B0EB7" w:rsidP="00AC5DFD">
            <w:pPr>
              <w:spacing w:before="120" w:after="120"/>
              <w:jc w:val="center"/>
              <w:rPr>
                <w:rFonts w:cstheme="minorHAnsi"/>
                <w:b/>
                <w:bCs/>
              </w:rPr>
            </w:pPr>
            <w:r w:rsidRPr="003B0EB7">
              <w:rPr>
                <w:rFonts w:cstheme="minorHAnsi"/>
                <w:b/>
                <w:bCs/>
              </w:rPr>
              <w:t>NOTA</w:t>
            </w:r>
          </w:p>
        </w:tc>
      </w:tr>
      <w:tr w:rsidR="008047F2" w:rsidRPr="00ED3AE0" w14:paraId="0760D3E8" w14:textId="77777777" w:rsidTr="0036150F">
        <w:tc>
          <w:tcPr>
            <w:tcW w:w="7020" w:type="dxa"/>
          </w:tcPr>
          <w:p w14:paraId="5D4A9B54" w14:textId="0FFEAEA3" w:rsidR="008047F2" w:rsidRPr="00AC5DFD" w:rsidRDefault="00AC5DFD" w:rsidP="00AC5DFD">
            <w:pPr>
              <w:spacing w:before="120" w:after="120"/>
              <w:rPr>
                <w:rFonts w:cstheme="minorHAnsi"/>
                <w:b/>
                <w:bCs/>
              </w:rPr>
            </w:pPr>
            <w:r>
              <w:rPr>
                <w:rFonts w:cstheme="minorHAnsi"/>
                <w:b/>
                <w:u w:val="single"/>
              </w:rPr>
              <w:t xml:space="preserve">3.1 </w:t>
            </w:r>
            <w:r w:rsidR="008047F2" w:rsidRPr="00AC5DFD">
              <w:rPr>
                <w:rFonts w:cstheme="minorHAnsi"/>
                <w:b/>
                <w:u w:val="single"/>
              </w:rPr>
              <w:t>CONFORMITA’ ALLA LR12/05</w:t>
            </w:r>
          </w:p>
        </w:tc>
        <w:tc>
          <w:tcPr>
            <w:tcW w:w="1200" w:type="dxa"/>
          </w:tcPr>
          <w:p w14:paraId="1235C521" w14:textId="77777777" w:rsidR="008047F2" w:rsidRPr="00ED3AE0" w:rsidRDefault="008047F2" w:rsidP="00AC5DFD">
            <w:pPr>
              <w:spacing w:before="120" w:after="120"/>
              <w:rPr>
                <w:rFonts w:cstheme="minorHAnsi"/>
                <w:b/>
                <w:bCs/>
              </w:rPr>
            </w:pPr>
          </w:p>
        </w:tc>
        <w:tc>
          <w:tcPr>
            <w:tcW w:w="1408" w:type="dxa"/>
          </w:tcPr>
          <w:p w14:paraId="33D82DC6" w14:textId="77777777" w:rsidR="008047F2" w:rsidRPr="00ED3AE0" w:rsidRDefault="008047F2" w:rsidP="00AC5DFD">
            <w:pPr>
              <w:spacing w:before="120" w:after="120"/>
              <w:rPr>
                <w:rFonts w:cstheme="minorHAnsi"/>
                <w:b/>
                <w:bCs/>
              </w:rPr>
            </w:pPr>
          </w:p>
        </w:tc>
      </w:tr>
      <w:tr w:rsidR="008047F2" w:rsidRPr="003B0EB7" w14:paraId="12117407" w14:textId="77777777" w:rsidTr="0036150F">
        <w:tc>
          <w:tcPr>
            <w:tcW w:w="7020" w:type="dxa"/>
          </w:tcPr>
          <w:p w14:paraId="28AE2FFE" w14:textId="1F1E870E" w:rsidR="008047F2" w:rsidRPr="003B0EB7" w:rsidRDefault="008047F2" w:rsidP="003B0EB7">
            <w:pPr>
              <w:spacing w:after="120"/>
              <w:jc w:val="both"/>
              <w:rPr>
                <w:rFonts w:cstheme="minorHAnsi"/>
              </w:rPr>
            </w:pPr>
            <w:r w:rsidRPr="003B0EB7">
              <w:rPr>
                <w:rFonts w:cstheme="minorHAnsi"/>
              </w:rPr>
              <w:t>1. Art.</w:t>
            </w:r>
            <w:r w:rsidR="003B0EB7">
              <w:rPr>
                <w:rFonts w:cstheme="minorHAnsi"/>
              </w:rPr>
              <w:t xml:space="preserve"> </w:t>
            </w:r>
            <w:r w:rsidRPr="003B0EB7">
              <w:rPr>
                <w:rFonts w:cstheme="minorHAnsi"/>
              </w:rPr>
              <w:t>47 IN - correggere i riferimenti normativi relativi alla individuazione degli ambiti di rigenerazione: art. 47.3 modificare piano delle regole con documento di piano e il riferimento all’art.8 comma 2 q quinquies) e non art. 10.</w:t>
            </w:r>
          </w:p>
        </w:tc>
        <w:tc>
          <w:tcPr>
            <w:tcW w:w="1200" w:type="dxa"/>
          </w:tcPr>
          <w:p w14:paraId="44AF9491" w14:textId="77777777" w:rsidR="008047F2" w:rsidRPr="003B0EB7" w:rsidRDefault="003B0EB7" w:rsidP="00EE5F3D">
            <w:pPr>
              <w:rPr>
                <w:rFonts w:cstheme="minorHAnsi"/>
                <w:bCs/>
              </w:rPr>
            </w:pPr>
            <w:r w:rsidRPr="003B0EB7">
              <w:rPr>
                <w:rFonts w:cstheme="minorHAnsi"/>
                <w:bCs/>
              </w:rPr>
              <w:t>Redolfi</w:t>
            </w:r>
          </w:p>
          <w:p w14:paraId="3D73EC67" w14:textId="6EF4E985" w:rsidR="003B0EB7" w:rsidRPr="003B0EB7" w:rsidRDefault="003B0EB7" w:rsidP="00EE5F3D">
            <w:pPr>
              <w:rPr>
                <w:rFonts w:cstheme="minorHAnsi"/>
                <w:bCs/>
              </w:rPr>
            </w:pPr>
          </w:p>
        </w:tc>
        <w:tc>
          <w:tcPr>
            <w:tcW w:w="1408" w:type="dxa"/>
          </w:tcPr>
          <w:p w14:paraId="2341100C" w14:textId="77777777" w:rsidR="008047F2" w:rsidRPr="003B0EB7" w:rsidRDefault="008047F2" w:rsidP="003B0EB7">
            <w:pPr>
              <w:spacing w:after="120"/>
              <w:rPr>
                <w:rFonts w:cstheme="minorHAnsi"/>
                <w:bCs/>
              </w:rPr>
            </w:pPr>
          </w:p>
        </w:tc>
      </w:tr>
      <w:tr w:rsidR="008047F2" w:rsidRPr="003B0EB7" w14:paraId="4ECBEDA2" w14:textId="77777777" w:rsidTr="0036150F">
        <w:tc>
          <w:tcPr>
            <w:tcW w:w="7020" w:type="dxa"/>
          </w:tcPr>
          <w:p w14:paraId="429CF7F3" w14:textId="013DAC49" w:rsidR="008047F2" w:rsidRPr="003B0EB7" w:rsidRDefault="008047F2" w:rsidP="003B0EB7">
            <w:pPr>
              <w:spacing w:after="120"/>
              <w:jc w:val="both"/>
              <w:rPr>
                <w:rFonts w:cstheme="minorHAnsi"/>
              </w:rPr>
            </w:pPr>
            <w:r w:rsidRPr="003B0EB7">
              <w:rPr>
                <w:rFonts w:cstheme="minorHAnsi"/>
              </w:rPr>
              <w:t>2. Art.</w:t>
            </w:r>
            <w:r w:rsidR="003B0EB7">
              <w:rPr>
                <w:rFonts w:cstheme="minorHAnsi"/>
              </w:rPr>
              <w:t xml:space="preserve"> </w:t>
            </w:r>
            <w:r w:rsidRPr="003B0EB7">
              <w:rPr>
                <w:rFonts w:cstheme="minorHAnsi"/>
              </w:rPr>
              <w:t xml:space="preserve">9 IN </w:t>
            </w:r>
            <w:r w:rsidR="003B0EB7">
              <w:rPr>
                <w:rFonts w:cstheme="minorHAnsi"/>
              </w:rPr>
              <w:t>-</w:t>
            </w:r>
            <w:r w:rsidRPr="003B0EB7">
              <w:rPr>
                <w:rFonts w:cstheme="minorHAnsi"/>
              </w:rPr>
              <w:t xml:space="preserve"> aggiornare</w:t>
            </w:r>
            <w:r w:rsidR="0049363A">
              <w:rPr>
                <w:rFonts w:cstheme="minorHAnsi"/>
              </w:rPr>
              <w:t xml:space="preserve"> </w:t>
            </w:r>
            <w:r w:rsidR="004F1F7E">
              <w:rPr>
                <w:rFonts w:cstheme="minorHAnsi"/>
              </w:rPr>
              <w:t xml:space="preserve">l’art. 9, comma 2, </w:t>
            </w:r>
            <w:r w:rsidRPr="003B0EB7">
              <w:rPr>
                <w:rFonts w:cstheme="minorHAnsi"/>
              </w:rPr>
              <w:t>con quanto previsto dall</w:t>
            </w:r>
            <w:r w:rsidR="0049363A">
              <w:rPr>
                <w:rFonts w:cstheme="minorHAnsi"/>
              </w:rPr>
              <w:t>’art. 17 comma 11 della LR 12/05 come variato dalla</w:t>
            </w:r>
            <w:r w:rsidRPr="003B0EB7">
              <w:rPr>
                <w:rFonts w:cstheme="minorHAnsi"/>
              </w:rPr>
              <w:t xml:space="preserve"> LR18/19</w:t>
            </w:r>
            <w:r w:rsidR="001D7B43">
              <w:rPr>
                <w:rFonts w:cstheme="minorHAnsi"/>
              </w:rPr>
              <w:t xml:space="preserve">, </w:t>
            </w:r>
            <w:r w:rsidR="004F1F7E">
              <w:rPr>
                <w:rFonts w:cstheme="minorHAnsi"/>
              </w:rPr>
              <w:t xml:space="preserve">applicando le procedure semplificate di modifica al PTCP le iniziative </w:t>
            </w:r>
            <w:r w:rsidRPr="003B0EB7">
              <w:rPr>
                <w:rFonts w:cstheme="minorHAnsi"/>
              </w:rPr>
              <w:t xml:space="preserve">di rigenerazione urbana e recupero del patrimonio edilizio esistente </w:t>
            </w:r>
            <w:r w:rsidR="004F1F7E">
              <w:rPr>
                <w:rFonts w:cstheme="minorHAnsi"/>
              </w:rPr>
              <w:t>che</w:t>
            </w:r>
            <w:r w:rsidRPr="003B0EB7">
              <w:rPr>
                <w:rFonts w:cstheme="minorHAnsi"/>
              </w:rPr>
              <w:t xml:space="preserve"> non incidano sulle strategie generali del piano.</w:t>
            </w:r>
          </w:p>
        </w:tc>
        <w:tc>
          <w:tcPr>
            <w:tcW w:w="1200" w:type="dxa"/>
          </w:tcPr>
          <w:p w14:paraId="11A25957" w14:textId="77777777" w:rsidR="00ED3AE0" w:rsidRPr="003B0EB7" w:rsidRDefault="00ED3AE0" w:rsidP="00EE5F3D">
            <w:pPr>
              <w:rPr>
                <w:rFonts w:cstheme="minorHAnsi"/>
                <w:bCs/>
              </w:rPr>
            </w:pPr>
            <w:r w:rsidRPr="003B0EB7">
              <w:rPr>
                <w:rFonts w:cstheme="minorHAnsi"/>
                <w:bCs/>
              </w:rPr>
              <w:t>Redolfi</w:t>
            </w:r>
          </w:p>
          <w:p w14:paraId="1AE10317" w14:textId="77777777" w:rsidR="008047F2" w:rsidRPr="003B0EB7" w:rsidRDefault="008047F2" w:rsidP="00EE5F3D">
            <w:pPr>
              <w:rPr>
                <w:rFonts w:cstheme="minorHAnsi"/>
                <w:bCs/>
              </w:rPr>
            </w:pPr>
          </w:p>
        </w:tc>
        <w:tc>
          <w:tcPr>
            <w:tcW w:w="1408" w:type="dxa"/>
          </w:tcPr>
          <w:p w14:paraId="45404CB7" w14:textId="77777777" w:rsidR="008047F2" w:rsidRPr="003B0EB7" w:rsidRDefault="008047F2" w:rsidP="003B0EB7">
            <w:pPr>
              <w:spacing w:after="120"/>
              <w:rPr>
                <w:rFonts w:cstheme="minorHAnsi"/>
                <w:bCs/>
              </w:rPr>
            </w:pPr>
          </w:p>
        </w:tc>
      </w:tr>
      <w:tr w:rsidR="008047F2" w:rsidRPr="003B0EB7" w14:paraId="08F628C0" w14:textId="77777777" w:rsidTr="0036150F">
        <w:tc>
          <w:tcPr>
            <w:tcW w:w="7020" w:type="dxa"/>
          </w:tcPr>
          <w:p w14:paraId="006841F0" w14:textId="46867779" w:rsidR="008047F2" w:rsidRPr="003B0EB7" w:rsidRDefault="008047F2" w:rsidP="003B0EB7">
            <w:pPr>
              <w:spacing w:after="120"/>
              <w:jc w:val="both"/>
              <w:rPr>
                <w:rFonts w:cstheme="minorHAnsi"/>
              </w:rPr>
            </w:pPr>
            <w:r w:rsidRPr="003B0EB7">
              <w:rPr>
                <w:rFonts w:cstheme="minorHAnsi"/>
              </w:rPr>
              <w:t xml:space="preserve">3. Art. 7.2 </w:t>
            </w:r>
            <w:r w:rsidR="003B0EB7">
              <w:rPr>
                <w:rFonts w:cstheme="minorHAnsi"/>
              </w:rPr>
              <w:t>IN -</w:t>
            </w:r>
            <w:r w:rsidRPr="003B0EB7">
              <w:rPr>
                <w:rFonts w:cstheme="minorHAnsi"/>
              </w:rPr>
              <w:t xml:space="preserve"> verificare l’opportunità di un aggiornamento con riferimento all’art. 11 della LR12/05 così come modificato dalla LR18/19.</w:t>
            </w:r>
          </w:p>
        </w:tc>
        <w:tc>
          <w:tcPr>
            <w:tcW w:w="1200" w:type="dxa"/>
          </w:tcPr>
          <w:p w14:paraId="1C4A11B6" w14:textId="77777777" w:rsidR="00ED3AE0" w:rsidRPr="003B0EB7" w:rsidRDefault="00ED3AE0" w:rsidP="00EE5F3D">
            <w:pPr>
              <w:rPr>
                <w:rFonts w:cstheme="minorHAnsi"/>
                <w:bCs/>
              </w:rPr>
            </w:pPr>
            <w:r w:rsidRPr="003B0EB7">
              <w:rPr>
                <w:rFonts w:cstheme="minorHAnsi"/>
                <w:bCs/>
              </w:rPr>
              <w:t>Redolfi</w:t>
            </w:r>
          </w:p>
          <w:p w14:paraId="3AB63EBF" w14:textId="77777777" w:rsidR="008047F2" w:rsidRPr="003B0EB7" w:rsidRDefault="008047F2" w:rsidP="00EE5F3D">
            <w:pPr>
              <w:rPr>
                <w:rFonts w:cstheme="minorHAnsi"/>
                <w:bCs/>
              </w:rPr>
            </w:pPr>
          </w:p>
        </w:tc>
        <w:tc>
          <w:tcPr>
            <w:tcW w:w="1408" w:type="dxa"/>
          </w:tcPr>
          <w:p w14:paraId="7C9205D1" w14:textId="77777777" w:rsidR="008047F2" w:rsidRPr="003B0EB7" w:rsidRDefault="008047F2" w:rsidP="003B0EB7">
            <w:pPr>
              <w:spacing w:after="120"/>
              <w:rPr>
                <w:rFonts w:cstheme="minorHAnsi"/>
                <w:bCs/>
              </w:rPr>
            </w:pPr>
          </w:p>
        </w:tc>
      </w:tr>
      <w:tr w:rsidR="00014292" w:rsidRPr="00ED3AE0" w14:paraId="68DE3FF7" w14:textId="77777777" w:rsidTr="0036150F">
        <w:tc>
          <w:tcPr>
            <w:tcW w:w="7020" w:type="dxa"/>
          </w:tcPr>
          <w:p w14:paraId="4F3FDB9F" w14:textId="7A7F2B3D" w:rsidR="003B0EB7" w:rsidRPr="00ED3AE0" w:rsidRDefault="003B0EB7" w:rsidP="00AC5DFD">
            <w:pPr>
              <w:spacing w:before="120" w:after="120"/>
              <w:rPr>
                <w:rFonts w:cstheme="minorHAnsi"/>
                <w:b/>
                <w:bCs/>
              </w:rPr>
            </w:pPr>
            <w:r w:rsidRPr="00ED3AE0">
              <w:rPr>
                <w:rFonts w:cstheme="minorHAnsi"/>
                <w:b/>
              </w:rPr>
              <w:t xml:space="preserve">Con riferimento alla tav 4.1 “PGRA – Reticolo Secondario Pianura”: </w:t>
            </w:r>
          </w:p>
        </w:tc>
        <w:tc>
          <w:tcPr>
            <w:tcW w:w="1200" w:type="dxa"/>
          </w:tcPr>
          <w:p w14:paraId="5FD948D0" w14:textId="77777777" w:rsidR="003B0EB7" w:rsidRPr="00ED3AE0" w:rsidRDefault="003B0EB7" w:rsidP="00AC5DFD">
            <w:pPr>
              <w:spacing w:before="120" w:after="120"/>
              <w:rPr>
                <w:rFonts w:cstheme="minorHAnsi"/>
                <w:b/>
                <w:bCs/>
              </w:rPr>
            </w:pPr>
          </w:p>
        </w:tc>
        <w:tc>
          <w:tcPr>
            <w:tcW w:w="1408" w:type="dxa"/>
          </w:tcPr>
          <w:p w14:paraId="2DCB3C8A" w14:textId="77777777" w:rsidR="003B0EB7" w:rsidRPr="00ED3AE0" w:rsidRDefault="003B0EB7" w:rsidP="00AC5DFD">
            <w:pPr>
              <w:spacing w:before="120" w:after="120"/>
              <w:rPr>
                <w:rFonts w:cstheme="minorHAnsi"/>
                <w:b/>
                <w:bCs/>
              </w:rPr>
            </w:pPr>
          </w:p>
        </w:tc>
      </w:tr>
      <w:tr w:rsidR="00D5115B" w:rsidRPr="003B0EB7" w14:paraId="1B7F6C77" w14:textId="77777777" w:rsidTr="0036150F">
        <w:tc>
          <w:tcPr>
            <w:tcW w:w="7020" w:type="dxa"/>
          </w:tcPr>
          <w:p w14:paraId="3148CBA9" w14:textId="2A18BB3D" w:rsidR="003B0EB7" w:rsidRPr="00ED3AE0" w:rsidRDefault="00014292" w:rsidP="003B0EB7">
            <w:pPr>
              <w:spacing w:after="120"/>
              <w:rPr>
                <w:rFonts w:cstheme="minorHAnsi"/>
              </w:rPr>
            </w:pPr>
            <w:r>
              <w:rPr>
                <w:rFonts w:cstheme="minorHAnsi"/>
              </w:rPr>
              <w:t xml:space="preserve">4. </w:t>
            </w:r>
            <w:r w:rsidR="00ED3AE0">
              <w:rPr>
                <w:rFonts w:cstheme="minorHAnsi"/>
              </w:rPr>
              <w:t>In Relazione e in a</w:t>
            </w:r>
            <w:r w:rsidR="003B0EB7" w:rsidRPr="000D0E06">
              <w:rPr>
                <w:rFonts w:cstheme="minorHAnsi"/>
              </w:rPr>
              <w:t xml:space="preserve">rt. 49.3 </w:t>
            </w:r>
            <w:r w:rsidR="00ED3AE0">
              <w:rPr>
                <w:rFonts w:cstheme="minorHAnsi"/>
              </w:rPr>
              <w:t>IN -</w:t>
            </w:r>
            <w:r w:rsidR="003B0EB7" w:rsidRPr="000D0E06">
              <w:rPr>
                <w:rFonts w:cstheme="minorHAnsi"/>
              </w:rPr>
              <w:t xml:space="preserve"> specificare meglio il significato di </w:t>
            </w:r>
            <w:r w:rsidR="00ED3AE0">
              <w:rPr>
                <w:rFonts w:cstheme="minorHAnsi"/>
              </w:rPr>
              <w:t>“</w:t>
            </w:r>
            <w:r w:rsidR="00ED3AE0" w:rsidRPr="00ED3AE0">
              <w:rPr>
                <w:rFonts w:cstheme="minorHAnsi"/>
              </w:rPr>
              <w:t>acquistano efficacia con l’approvazione del PTCP ed entrano in vigore con il recepimento nello strumento urbanistico comunale”.</w:t>
            </w:r>
          </w:p>
        </w:tc>
        <w:tc>
          <w:tcPr>
            <w:tcW w:w="1200" w:type="dxa"/>
          </w:tcPr>
          <w:p w14:paraId="762BE3DA" w14:textId="77777777" w:rsidR="003B0EB7" w:rsidRDefault="00EE5F3D" w:rsidP="00EE5F3D">
            <w:pPr>
              <w:rPr>
                <w:rFonts w:cstheme="minorHAnsi"/>
              </w:rPr>
            </w:pPr>
            <w:r>
              <w:rPr>
                <w:rFonts w:cstheme="minorHAnsi"/>
              </w:rPr>
              <w:t>Molinari</w:t>
            </w:r>
          </w:p>
          <w:p w14:paraId="50B9DF92" w14:textId="4744EBE4" w:rsidR="00EE5F3D" w:rsidRPr="00ED3AE0" w:rsidRDefault="00EE5F3D" w:rsidP="00EE5F3D">
            <w:pPr>
              <w:rPr>
                <w:rFonts w:cstheme="minorHAnsi"/>
              </w:rPr>
            </w:pPr>
          </w:p>
        </w:tc>
        <w:tc>
          <w:tcPr>
            <w:tcW w:w="1408" w:type="dxa"/>
          </w:tcPr>
          <w:p w14:paraId="05C2C154" w14:textId="77777777" w:rsidR="003B0EB7" w:rsidRPr="00ED3AE0" w:rsidRDefault="003B0EB7" w:rsidP="003B0EB7">
            <w:pPr>
              <w:spacing w:after="120"/>
              <w:rPr>
                <w:rFonts w:cstheme="minorHAnsi"/>
              </w:rPr>
            </w:pPr>
          </w:p>
        </w:tc>
      </w:tr>
      <w:tr w:rsidR="00014292" w:rsidRPr="003B0EB7" w14:paraId="68651701" w14:textId="77777777" w:rsidTr="0036150F">
        <w:tc>
          <w:tcPr>
            <w:tcW w:w="7020" w:type="dxa"/>
          </w:tcPr>
          <w:p w14:paraId="0270C682" w14:textId="6ECFE303" w:rsidR="003B0EB7" w:rsidRPr="003B0EB7" w:rsidRDefault="00014292" w:rsidP="003B0EB7">
            <w:pPr>
              <w:spacing w:after="120"/>
              <w:rPr>
                <w:rFonts w:cstheme="minorHAnsi"/>
                <w:b/>
                <w:bCs/>
              </w:rPr>
            </w:pPr>
            <w:r>
              <w:rPr>
                <w:rFonts w:cstheme="minorHAnsi"/>
              </w:rPr>
              <w:t>5.</w:t>
            </w:r>
            <w:r w:rsidR="00ED3AE0">
              <w:rPr>
                <w:rFonts w:cstheme="minorHAnsi"/>
              </w:rPr>
              <w:t xml:space="preserve"> L</w:t>
            </w:r>
            <w:r w:rsidR="003B0EB7" w:rsidRPr="000D0E06">
              <w:rPr>
                <w:rFonts w:cstheme="minorHAnsi"/>
              </w:rPr>
              <w:t xml:space="preserve">e modifiche già attuabili da subito (non subordinate al completamento di interventi), qualora adeguatamente supportate da analisi (come in parte emerge dal contributo del Consorzio Territori del Mincio) </w:t>
            </w:r>
            <w:r w:rsidR="00ED3AE0">
              <w:rPr>
                <w:rFonts w:cstheme="minorHAnsi"/>
              </w:rPr>
              <w:t>siano</w:t>
            </w:r>
            <w:r w:rsidR="003B0EB7" w:rsidRPr="000D0E06">
              <w:rPr>
                <w:rFonts w:cstheme="minorHAnsi"/>
              </w:rPr>
              <w:t xml:space="preserve"> formalmente trasmesse a</w:t>
            </w:r>
            <w:r w:rsidR="00ED3AE0">
              <w:rPr>
                <w:rFonts w:cstheme="minorHAnsi"/>
              </w:rPr>
              <w:t>lla</w:t>
            </w:r>
            <w:r w:rsidR="003B0EB7" w:rsidRPr="000D0E06">
              <w:rPr>
                <w:rFonts w:cstheme="minorHAnsi"/>
              </w:rPr>
              <w:t xml:space="preserve"> Regione ai fini dell’aggiornamento delle mappe del PGRA.</w:t>
            </w:r>
          </w:p>
        </w:tc>
        <w:tc>
          <w:tcPr>
            <w:tcW w:w="1200" w:type="dxa"/>
          </w:tcPr>
          <w:p w14:paraId="440180B5" w14:textId="77777777" w:rsidR="003B0EB7" w:rsidRDefault="00EE5F3D" w:rsidP="00EE5F3D">
            <w:pPr>
              <w:rPr>
                <w:rFonts w:cstheme="minorHAnsi"/>
                <w:bCs/>
              </w:rPr>
            </w:pPr>
            <w:r>
              <w:rPr>
                <w:rFonts w:cstheme="minorHAnsi"/>
                <w:bCs/>
              </w:rPr>
              <w:t>Molinari</w:t>
            </w:r>
          </w:p>
          <w:p w14:paraId="3B7C2253" w14:textId="3527FCD1" w:rsidR="00EE5F3D" w:rsidRPr="003B0EB7" w:rsidRDefault="00EE5F3D" w:rsidP="00EE5F3D">
            <w:pPr>
              <w:rPr>
                <w:rFonts w:cstheme="minorHAnsi"/>
                <w:bCs/>
              </w:rPr>
            </w:pPr>
            <w:r>
              <w:rPr>
                <w:rFonts w:cstheme="minorHAnsi"/>
                <w:bCs/>
              </w:rPr>
              <w:t>Caleffi</w:t>
            </w:r>
          </w:p>
        </w:tc>
        <w:tc>
          <w:tcPr>
            <w:tcW w:w="1408" w:type="dxa"/>
          </w:tcPr>
          <w:p w14:paraId="243D8D5E" w14:textId="77777777" w:rsidR="003B0EB7" w:rsidRPr="003B0EB7" w:rsidRDefault="003B0EB7" w:rsidP="003B0EB7">
            <w:pPr>
              <w:spacing w:after="120"/>
              <w:rPr>
                <w:rFonts w:cstheme="minorHAnsi"/>
                <w:bCs/>
              </w:rPr>
            </w:pPr>
          </w:p>
        </w:tc>
      </w:tr>
      <w:tr w:rsidR="00014292" w:rsidRPr="00AC5DFD" w14:paraId="2DBEA7B1" w14:textId="77777777" w:rsidTr="0036150F">
        <w:tc>
          <w:tcPr>
            <w:tcW w:w="7020" w:type="dxa"/>
          </w:tcPr>
          <w:p w14:paraId="093062A0" w14:textId="14677CDD" w:rsidR="003B0EB7" w:rsidRPr="00AC5DFD" w:rsidRDefault="003B0EB7" w:rsidP="00AC5DFD">
            <w:pPr>
              <w:spacing w:before="120" w:after="120"/>
              <w:rPr>
                <w:rFonts w:cstheme="minorHAnsi"/>
                <w:b/>
                <w:bCs/>
              </w:rPr>
            </w:pPr>
            <w:r w:rsidRPr="00AC5DFD">
              <w:rPr>
                <w:rFonts w:cstheme="minorHAnsi"/>
                <w:b/>
                <w:bCs/>
              </w:rPr>
              <w:t>Con riferimento alla tav. 4.2 “PAI-PGRA – RP-APSFR”:</w:t>
            </w:r>
          </w:p>
        </w:tc>
        <w:tc>
          <w:tcPr>
            <w:tcW w:w="1200" w:type="dxa"/>
          </w:tcPr>
          <w:p w14:paraId="20443EC3" w14:textId="77777777" w:rsidR="003B0EB7" w:rsidRPr="00AC5DFD" w:rsidRDefault="003B0EB7" w:rsidP="00AC5DFD">
            <w:pPr>
              <w:spacing w:before="120" w:after="120"/>
              <w:rPr>
                <w:rFonts w:cstheme="minorHAnsi"/>
                <w:b/>
                <w:bCs/>
              </w:rPr>
            </w:pPr>
          </w:p>
        </w:tc>
        <w:tc>
          <w:tcPr>
            <w:tcW w:w="1408" w:type="dxa"/>
          </w:tcPr>
          <w:p w14:paraId="75287FE0" w14:textId="77777777" w:rsidR="003B0EB7" w:rsidRPr="00AC5DFD" w:rsidRDefault="003B0EB7" w:rsidP="00AC5DFD">
            <w:pPr>
              <w:spacing w:before="120" w:after="120"/>
              <w:rPr>
                <w:rFonts w:cstheme="minorHAnsi"/>
                <w:b/>
                <w:bCs/>
              </w:rPr>
            </w:pPr>
          </w:p>
        </w:tc>
      </w:tr>
      <w:tr w:rsidR="00014292" w:rsidRPr="003B0EB7" w14:paraId="7F68E442" w14:textId="77777777" w:rsidTr="0036150F">
        <w:tc>
          <w:tcPr>
            <w:tcW w:w="7020" w:type="dxa"/>
          </w:tcPr>
          <w:p w14:paraId="0633F9C3" w14:textId="452824A7" w:rsidR="003B0EB7" w:rsidRPr="003B0EB7" w:rsidRDefault="00014292" w:rsidP="003B0EB7">
            <w:pPr>
              <w:spacing w:after="120"/>
              <w:rPr>
                <w:rFonts w:cstheme="minorHAnsi"/>
                <w:b/>
                <w:bCs/>
              </w:rPr>
            </w:pPr>
            <w:r>
              <w:rPr>
                <w:rFonts w:cstheme="minorHAnsi"/>
              </w:rPr>
              <w:t>6</w:t>
            </w:r>
            <w:r w:rsidR="00ED3AE0">
              <w:rPr>
                <w:rFonts w:cstheme="minorHAnsi"/>
              </w:rPr>
              <w:t>. C</w:t>
            </w:r>
            <w:r w:rsidR="003B0EB7" w:rsidRPr="000D0E06">
              <w:rPr>
                <w:rFonts w:cstheme="minorHAnsi"/>
              </w:rPr>
              <w:t>orreggere l’individuazione dei limiti di progetto tra la fascia B e la Fascia C presenti nei Comuni di Canneto sull’Oglio (riportata come limite di fascia C) e di Asola (riportata solo parzialmente).</w:t>
            </w:r>
          </w:p>
        </w:tc>
        <w:tc>
          <w:tcPr>
            <w:tcW w:w="1200" w:type="dxa"/>
          </w:tcPr>
          <w:p w14:paraId="130153C2" w14:textId="0687B9CE" w:rsidR="003B0EB7" w:rsidRPr="003B0EB7" w:rsidRDefault="00EE5F3D" w:rsidP="00EE5F3D">
            <w:pPr>
              <w:rPr>
                <w:rFonts w:cstheme="minorHAnsi"/>
                <w:bCs/>
              </w:rPr>
            </w:pPr>
            <w:r>
              <w:rPr>
                <w:rFonts w:cstheme="minorHAnsi"/>
                <w:bCs/>
              </w:rPr>
              <w:t>Molinari Caleffi</w:t>
            </w:r>
          </w:p>
        </w:tc>
        <w:tc>
          <w:tcPr>
            <w:tcW w:w="1408" w:type="dxa"/>
          </w:tcPr>
          <w:p w14:paraId="34F6E982" w14:textId="77777777" w:rsidR="003B0EB7" w:rsidRPr="003B0EB7" w:rsidRDefault="003B0EB7" w:rsidP="003B0EB7">
            <w:pPr>
              <w:spacing w:after="120"/>
              <w:rPr>
                <w:rFonts w:cstheme="minorHAnsi"/>
                <w:bCs/>
              </w:rPr>
            </w:pPr>
          </w:p>
        </w:tc>
      </w:tr>
      <w:tr w:rsidR="00014292" w:rsidRPr="003B0EB7" w14:paraId="29B9C709" w14:textId="77777777" w:rsidTr="0036150F">
        <w:tc>
          <w:tcPr>
            <w:tcW w:w="7020" w:type="dxa"/>
          </w:tcPr>
          <w:p w14:paraId="7609B57A" w14:textId="5F583222" w:rsidR="003B0EB7" w:rsidRPr="003B0EB7" w:rsidRDefault="00014292" w:rsidP="003B0EB7">
            <w:pPr>
              <w:spacing w:after="120"/>
              <w:rPr>
                <w:rFonts w:cstheme="minorHAnsi"/>
                <w:b/>
                <w:bCs/>
              </w:rPr>
            </w:pPr>
            <w:r>
              <w:rPr>
                <w:rFonts w:cstheme="minorHAnsi"/>
              </w:rPr>
              <w:t>7</w:t>
            </w:r>
            <w:r w:rsidR="00ED3AE0">
              <w:rPr>
                <w:rFonts w:cstheme="minorHAnsi"/>
              </w:rPr>
              <w:t xml:space="preserve">. </w:t>
            </w:r>
            <w:r w:rsidR="00EE5F3D">
              <w:rPr>
                <w:rFonts w:cstheme="minorHAnsi"/>
              </w:rPr>
              <w:t>R</w:t>
            </w:r>
            <w:r w:rsidR="003B0EB7" w:rsidRPr="000D0E06">
              <w:rPr>
                <w:rFonts w:cstheme="minorHAnsi"/>
              </w:rPr>
              <w:t>iportare le fasce del P.A.I. con il proprio simbolo lineare previsto</w:t>
            </w:r>
            <w:r w:rsidR="00ED3AE0">
              <w:rPr>
                <w:rFonts w:cstheme="minorHAnsi"/>
              </w:rPr>
              <w:t>. A</w:t>
            </w:r>
            <w:r w:rsidR="003B0EB7" w:rsidRPr="000D0E06">
              <w:rPr>
                <w:rFonts w:cstheme="minorHAnsi"/>
              </w:rPr>
              <w:t>nche nella legenda dovranno essere usate le definizioni autentiche in termini di limiti tra le fasce. La rappresentazione poligonale è fuorviante soprattutto nelle aree di fascia C.</w:t>
            </w:r>
          </w:p>
        </w:tc>
        <w:tc>
          <w:tcPr>
            <w:tcW w:w="1200" w:type="dxa"/>
          </w:tcPr>
          <w:p w14:paraId="53730F1D" w14:textId="77777777" w:rsidR="003B0EB7" w:rsidRDefault="00EE5F3D" w:rsidP="00EE5F3D">
            <w:pPr>
              <w:rPr>
                <w:rFonts w:cstheme="minorHAnsi"/>
                <w:bCs/>
              </w:rPr>
            </w:pPr>
            <w:r>
              <w:rPr>
                <w:rFonts w:cstheme="minorHAnsi"/>
                <w:bCs/>
              </w:rPr>
              <w:t>Calvano</w:t>
            </w:r>
          </w:p>
          <w:p w14:paraId="6D84131C" w14:textId="2D093E4B" w:rsidR="00EE5F3D" w:rsidRPr="003B0EB7" w:rsidRDefault="00EE5F3D" w:rsidP="00EE5F3D">
            <w:pPr>
              <w:rPr>
                <w:rFonts w:cstheme="minorHAnsi"/>
                <w:bCs/>
              </w:rPr>
            </w:pPr>
            <w:r>
              <w:rPr>
                <w:rFonts w:cstheme="minorHAnsi"/>
                <w:bCs/>
              </w:rPr>
              <w:t>Caleffi</w:t>
            </w:r>
          </w:p>
        </w:tc>
        <w:tc>
          <w:tcPr>
            <w:tcW w:w="1408" w:type="dxa"/>
          </w:tcPr>
          <w:p w14:paraId="7EDE1ADF" w14:textId="77777777" w:rsidR="003B0EB7" w:rsidRPr="003B0EB7" w:rsidRDefault="003B0EB7" w:rsidP="003B0EB7">
            <w:pPr>
              <w:spacing w:after="120"/>
              <w:rPr>
                <w:rFonts w:cstheme="minorHAnsi"/>
                <w:bCs/>
              </w:rPr>
            </w:pPr>
          </w:p>
        </w:tc>
      </w:tr>
      <w:tr w:rsidR="00014292" w:rsidRPr="003B0EB7" w14:paraId="3CC654A8" w14:textId="77777777" w:rsidTr="0036150F">
        <w:tc>
          <w:tcPr>
            <w:tcW w:w="7020" w:type="dxa"/>
          </w:tcPr>
          <w:p w14:paraId="57157F02" w14:textId="651B0E07" w:rsidR="003B0EB7" w:rsidRPr="003B0EB7" w:rsidRDefault="00014292" w:rsidP="003B0EB7">
            <w:pPr>
              <w:spacing w:after="120"/>
              <w:rPr>
                <w:rFonts w:cstheme="minorHAnsi"/>
                <w:b/>
                <w:bCs/>
              </w:rPr>
            </w:pPr>
            <w:r>
              <w:rPr>
                <w:rFonts w:cstheme="minorHAnsi"/>
              </w:rPr>
              <w:t>8</w:t>
            </w:r>
            <w:r w:rsidR="00ED3AE0">
              <w:rPr>
                <w:rFonts w:cstheme="minorHAnsi"/>
              </w:rPr>
              <w:t xml:space="preserve">. </w:t>
            </w:r>
            <w:r w:rsidR="00EE5F3D">
              <w:rPr>
                <w:rFonts w:cstheme="minorHAnsi"/>
              </w:rPr>
              <w:t xml:space="preserve">Riportare le delimitazioni della </w:t>
            </w:r>
            <w:r w:rsidR="003B0EB7" w:rsidRPr="000D0E06">
              <w:rPr>
                <w:rFonts w:cstheme="minorHAnsi"/>
              </w:rPr>
              <w:t xml:space="preserve">Variante d’asta del P.A.I. relativa al Fiume Secchia, </w:t>
            </w:r>
            <w:r w:rsidR="00EE5F3D">
              <w:rPr>
                <w:rFonts w:cstheme="minorHAnsi"/>
              </w:rPr>
              <w:t xml:space="preserve">anche se ancora </w:t>
            </w:r>
            <w:r w:rsidR="003B0EB7" w:rsidRPr="000D0E06">
              <w:rPr>
                <w:rFonts w:cstheme="minorHAnsi"/>
              </w:rPr>
              <w:t>in fase di approvazione</w:t>
            </w:r>
            <w:r w:rsidR="00EE5F3D">
              <w:rPr>
                <w:rFonts w:cstheme="minorHAnsi"/>
              </w:rPr>
              <w:t>.</w:t>
            </w:r>
          </w:p>
        </w:tc>
        <w:tc>
          <w:tcPr>
            <w:tcW w:w="1200" w:type="dxa"/>
          </w:tcPr>
          <w:p w14:paraId="36308FB9" w14:textId="77777777" w:rsidR="00EE5F3D" w:rsidRDefault="00EE5F3D" w:rsidP="00EE5F3D">
            <w:pPr>
              <w:rPr>
                <w:rFonts w:cstheme="minorHAnsi"/>
                <w:bCs/>
              </w:rPr>
            </w:pPr>
            <w:r>
              <w:rPr>
                <w:rFonts w:cstheme="minorHAnsi"/>
                <w:bCs/>
              </w:rPr>
              <w:t>Calvano</w:t>
            </w:r>
          </w:p>
          <w:p w14:paraId="6EB6484A" w14:textId="000675DE" w:rsidR="003B0EB7" w:rsidRPr="003B0EB7" w:rsidRDefault="00EE5F3D" w:rsidP="00EE5F3D">
            <w:pPr>
              <w:rPr>
                <w:rFonts w:cstheme="minorHAnsi"/>
                <w:bCs/>
              </w:rPr>
            </w:pPr>
            <w:r>
              <w:rPr>
                <w:rFonts w:cstheme="minorHAnsi"/>
                <w:bCs/>
              </w:rPr>
              <w:t>Caleffi</w:t>
            </w:r>
          </w:p>
        </w:tc>
        <w:tc>
          <w:tcPr>
            <w:tcW w:w="1408" w:type="dxa"/>
          </w:tcPr>
          <w:p w14:paraId="6200338B" w14:textId="77777777" w:rsidR="003B0EB7" w:rsidRPr="003B0EB7" w:rsidRDefault="003B0EB7" w:rsidP="003B0EB7">
            <w:pPr>
              <w:spacing w:after="120"/>
              <w:rPr>
                <w:rFonts w:cstheme="minorHAnsi"/>
                <w:bCs/>
              </w:rPr>
            </w:pPr>
          </w:p>
        </w:tc>
      </w:tr>
      <w:tr w:rsidR="00014292" w:rsidRPr="003B0EB7" w14:paraId="35FB1C4D" w14:textId="77777777" w:rsidTr="0036150F">
        <w:tc>
          <w:tcPr>
            <w:tcW w:w="7020" w:type="dxa"/>
          </w:tcPr>
          <w:p w14:paraId="1FAA7FDC" w14:textId="4E2A9E66" w:rsidR="003B0EB7" w:rsidRPr="003B0EB7" w:rsidRDefault="00014292" w:rsidP="003B0EB7">
            <w:pPr>
              <w:spacing w:after="120"/>
              <w:rPr>
                <w:rFonts w:cstheme="minorHAnsi"/>
                <w:b/>
                <w:bCs/>
              </w:rPr>
            </w:pPr>
            <w:r>
              <w:rPr>
                <w:rFonts w:cstheme="minorHAnsi"/>
              </w:rPr>
              <w:t>9</w:t>
            </w:r>
            <w:r w:rsidR="00EE5F3D">
              <w:rPr>
                <w:rFonts w:cstheme="minorHAnsi"/>
              </w:rPr>
              <w:t>. U</w:t>
            </w:r>
            <w:r w:rsidR="003B0EB7" w:rsidRPr="000D0E06">
              <w:rPr>
                <w:rFonts w:cstheme="minorHAnsi"/>
              </w:rPr>
              <w:t>tilizzare anche per le Aree a Potenziale Rischio Significativo una simbologia lineare, al fine di rendere maggiormente leggibile la tavola.</w:t>
            </w:r>
          </w:p>
        </w:tc>
        <w:tc>
          <w:tcPr>
            <w:tcW w:w="1200" w:type="dxa"/>
          </w:tcPr>
          <w:p w14:paraId="12E467F8" w14:textId="77777777" w:rsidR="00EE5F3D" w:rsidRDefault="00EE5F3D" w:rsidP="00EE5F3D">
            <w:pPr>
              <w:rPr>
                <w:rFonts w:cstheme="minorHAnsi"/>
                <w:bCs/>
              </w:rPr>
            </w:pPr>
            <w:r>
              <w:rPr>
                <w:rFonts w:cstheme="minorHAnsi"/>
                <w:bCs/>
              </w:rPr>
              <w:t>Calvano</w:t>
            </w:r>
          </w:p>
          <w:p w14:paraId="6AF7D1B1" w14:textId="5F754FEA" w:rsidR="003B0EB7" w:rsidRPr="003B0EB7" w:rsidRDefault="00EE5F3D" w:rsidP="00EE5F3D">
            <w:pPr>
              <w:rPr>
                <w:rFonts w:cstheme="minorHAnsi"/>
                <w:bCs/>
              </w:rPr>
            </w:pPr>
            <w:r>
              <w:rPr>
                <w:rFonts w:cstheme="minorHAnsi"/>
                <w:bCs/>
              </w:rPr>
              <w:t>Caleffi</w:t>
            </w:r>
          </w:p>
        </w:tc>
        <w:tc>
          <w:tcPr>
            <w:tcW w:w="1408" w:type="dxa"/>
          </w:tcPr>
          <w:p w14:paraId="40346B09" w14:textId="77777777" w:rsidR="003B0EB7" w:rsidRPr="003B0EB7" w:rsidRDefault="003B0EB7" w:rsidP="003B0EB7">
            <w:pPr>
              <w:spacing w:after="120"/>
              <w:rPr>
                <w:rFonts w:cstheme="minorHAnsi"/>
                <w:bCs/>
              </w:rPr>
            </w:pPr>
          </w:p>
        </w:tc>
      </w:tr>
      <w:tr w:rsidR="00014292" w:rsidRPr="003B0EB7" w14:paraId="2D8CA59D" w14:textId="77777777" w:rsidTr="0036150F">
        <w:tc>
          <w:tcPr>
            <w:tcW w:w="7020" w:type="dxa"/>
          </w:tcPr>
          <w:p w14:paraId="7D797C41" w14:textId="72338823" w:rsidR="003B0EB7" w:rsidRPr="003B0EB7" w:rsidRDefault="00014292" w:rsidP="003B0EB7">
            <w:pPr>
              <w:spacing w:after="120"/>
              <w:rPr>
                <w:rFonts w:cstheme="minorHAnsi"/>
                <w:b/>
                <w:bCs/>
              </w:rPr>
            </w:pPr>
            <w:r>
              <w:rPr>
                <w:rFonts w:cstheme="minorHAnsi"/>
              </w:rPr>
              <w:t>10</w:t>
            </w:r>
            <w:r w:rsidR="00EE5F3D">
              <w:rPr>
                <w:rFonts w:cstheme="minorHAnsi"/>
              </w:rPr>
              <w:t xml:space="preserve">. </w:t>
            </w:r>
            <w:r w:rsidR="003B0EB7" w:rsidRPr="000D0E06">
              <w:rPr>
                <w:rFonts w:cstheme="minorHAnsi"/>
              </w:rPr>
              <w:t>Individuare un meccanismo che garantisca la possibilità del suo aggiornamento periodico, oppure una norma specifica che rinvii alla versione aggiornata così come pubblicata sul Geoportale della Lombardia.</w:t>
            </w:r>
          </w:p>
        </w:tc>
        <w:tc>
          <w:tcPr>
            <w:tcW w:w="1200" w:type="dxa"/>
          </w:tcPr>
          <w:p w14:paraId="38A0B1FD" w14:textId="597E3BB4" w:rsidR="003B0EB7" w:rsidRPr="003B0EB7" w:rsidRDefault="00EE5F3D" w:rsidP="00EE5F3D">
            <w:pPr>
              <w:rPr>
                <w:rFonts w:cstheme="minorHAnsi"/>
                <w:bCs/>
              </w:rPr>
            </w:pPr>
            <w:r>
              <w:rPr>
                <w:rFonts w:cstheme="minorHAnsi"/>
                <w:bCs/>
              </w:rPr>
              <w:t>Molinari</w:t>
            </w:r>
          </w:p>
        </w:tc>
        <w:tc>
          <w:tcPr>
            <w:tcW w:w="1408" w:type="dxa"/>
          </w:tcPr>
          <w:p w14:paraId="07D911CD" w14:textId="77777777" w:rsidR="003B0EB7" w:rsidRPr="003B0EB7" w:rsidRDefault="003B0EB7" w:rsidP="003B0EB7">
            <w:pPr>
              <w:spacing w:after="120"/>
              <w:rPr>
                <w:rFonts w:cstheme="minorHAnsi"/>
                <w:bCs/>
              </w:rPr>
            </w:pPr>
          </w:p>
        </w:tc>
      </w:tr>
      <w:tr w:rsidR="00014292" w:rsidRPr="003B0EB7" w14:paraId="21B51F72" w14:textId="77777777" w:rsidTr="0036150F">
        <w:tc>
          <w:tcPr>
            <w:tcW w:w="7020" w:type="dxa"/>
          </w:tcPr>
          <w:p w14:paraId="07BA3E19" w14:textId="3F0DAD79" w:rsidR="003B0EB7" w:rsidRPr="003B0EB7" w:rsidRDefault="00014292" w:rsidP="003B0EB7">
            <w:pPr>
              <w:spacing w:after="120"/>
              <w:rPr>
                <w:rFonts w:cstheme="minorHAnsi"/>
                <w:b/>
                <w:bCs/>
              </w:rPr>
            </w:pPr>
            <w:r>
              <w:rPr>
                <w:rFonts w:cstheme="minorHAnsi"/>
              </w:rPr>
              <w:t>11</w:t>
            </w:r>
            <w:r w:rsidR="00EE5F3D">
              <w:rPr>
                <w:rFonts w:cstheme="minorHAnsi"/>
              </w:rPr>
              <w:t xml:space="preserve">. </w:t>
            </w:r>
            <w:r w:rsidR="00FE3A82">
              <w:rPr>
                <w:rFonts w:cstheme="minorHAnsi"/>
              </w:rPr>
              <w:t>A</w:t>
            </w:r>
            <w:r w:rsidR="003B0EB7" w:rsidRPr="000D0E06">
              <w:rPr>
                <w:rFonts w:cstheme="minorHAnsi"/>
              </w:rPr>
              <w:t>ggiungere nelle tavole PAI-PGRA l’individuazione delle opere prioritarie per la difesa del suolo riportate negli “strumenti operativi” del PTR o il riferimento a tali strumenti nella relazione e/o nella normativa</w:t>
            </w:r>
            <w:r w:rsidR="00FE3A82">
              <w:rPr>
                <w:rFonts w:cstheme="minorHAnsi"/>
              </w:rPr>
              <w:t>.</w:t>
            </w:r>
          </w:p>
        </w:tc>
        <w:tc>
          <w:tcPr>
            <w:tcW w:w="1200" w:type="dxa"/>
          </w:tcPr>
          <w:p w14:paraId="7028A951" w14:textId="77777777" w:rsidR="003B0EB7" w:rsidRDefault="00FE3A82" w:rsidP="00EE5F3D">
            <w:pPr>
              <w:rPr>
                <w:rFonts w:cstheme="minorHAnsi"/>
                <w:bCs/>
              </w:rPr>
            </w:pPr>
            <w:r>
              <w:rPr>
                <w:rFonts w:cstheme="minorHAnsi"/>
                <w:bCs/>
              </w:rPr>
              <w:t>Molinari</w:t>
            </w:r>
          </w:p>
          <w:p w14:paraId="0EECF231" w14:textId="1624EDA7" w:rsidR="00FE3A82" w:rsidRPr="003B0EB7" w:rsidRDefault="00FE3A82" w:rsidP="00EE5F3D">
            <w:pPr>
              <w:rPr>
                <w:rFonts w:cstheme="minorHAnsi"/>
                <w:bCs/>
              </w:rPr>
            </w:pPr>
            <w:r>
              <w:rPr>
                <w:rFonts w:cstheme="minorHAnsi"/>
                <w:bCs/>
              </w:rPr>
              <w:t>Calvano</w:t>
            </w:r>
          </w:p>
        </w:tc>
        <w:tc>
          <w:tcPr>
            <w:tcW w:w="1408" w:type="dxa"/>
          </w:tcPr>
          <w:p w14:paraId="3314029D" w14:textId="77777777" w:rsidR="003B0EB7" w:rsidRPr="003B0EB7" w:rsidRDefault="003B0EB7" w:rsidP="003B0EB7">
            <w:pPr>
              <w:spacing w:after="120"/>
              <w:rPr>
                <w:rFonts w:cstheme="minorHAnsi"/>
                <w:bCs/>
              </w:rPr>
            </w:pPr>
          </w:p>
        </w:tc>
      </w:tr>
      <w:tr w:rsidR="00014292" w:rsidRPr="00AC5DFD" w14:paraId="30491648" w14:textId="77777777" w:rsidTr="0036150F">
        <w:tc>
          <w:tcPr>
            <w:tcW w:w="7020" w:type="dxa"/>
          </w:tcPr>
          <w:p w14:paraId="4FA0E4EE" w14:textId="54B882C8" w:rsidR="00D5115B" w:rsidRPr="00ED3AE0" w:rsidRDefault="00D5115B" w:rsidP="00AC5DFD">
            <w:pPr>
              <w:spacing w:before="120" w:after="120"/>
              <w:rPr>
                <w:rFonts w:cstheme="minorHAnsi"/>
                <w:b/>
                <w:bCs/>
              </w:rPr>
            </w:pPr>
            <w:r w:rsidRPr="00AC5DFD">
              <w:rPr>
                <w:rFonts w:cstheme="minorHAnsi"/>
                <w:b/>
                <w:bCs/>
              </w:rPr>
              <w:t xml:space="preserve">Con riferimento agli Indirizzi Normativi - </w:t>
            </w:r>
            <w:r w:rsidR="00014292" w:rsidRPr="00AC5DFD">
              <w:rPr>
                <w:rFonts w:cstheme="minorHAnsi"/>
                <w:b/>
                <w:bCs/>
              </w:rPr>
              <w:t>c</w:t>
            </w:r>
            <w:r w:rsidRPr="00AC5DFD">
              <w:rPr>
                <w:rFonts w:cstheme="minorHAnsi"/>
                <w:b/>
                <w:bCs/>
              </w:rPr>
              <w:t xml:space="preserve">omponente </w:t>
            </w:r>
            <w:r w:rsidR="00014292" w:rsidRPr="00AC5DFD">
              <w:rPr>
                <w:rFonts w:cstheme="minorHAnsi"/>
                <w:b/>
                <w:bCs/>
              </w:rPr>
              <w:t>geologica, idrogeologica</w:t>
            </w:r>
          </w:p>
        </w:tc>
        <w:tc>
          <w:tcPr>
            <w:tcW w:w="1200" w:type="dxa"/>
          </w:tcPr>
          <w:p w14:paraId="6A7B517B" w14:textId="77777777" w:rsidR="00D5115B" w:rsidRPr="00ED3AE0" w:rsidRDefault="00D5115B" w:rsidP="00AC5DFD">
            <w:pPr>
              <w:spacing w:before="120" w:after="120"/>
              <w:rPr>
                <w:rFonts w:cstheme="minorHAnsi"/>
                <w:b/>
                <w:bCs/>
              </w:rPr>
            </w:pPr>
          </w:p>
        </w:tc>
        <w:tc>
          <w:tcPr>
            <w:tcW w:w="1408" w:type="dxa"/>
          </w:tcPr>
          <w:p w14:paraId="17F1BF6A" w14:textId="77777777" w:rsidR="00D5115B" w:rsidRPr="00ED3AE0" w:rsidRDefault="00D5115B" w:rsidP="00AC5DFD">
            <w:pPr>
              <w:spacing w:before="120" w:after="120"/>
              <w:rPr>
                <w:rFonts w:cstheme="minorHAnsi"/>
                <w:b/>
                <w:bCs/>
              </w:rPr>
            </w:pPr>
          </w:p>
        </w:tc>
      </w:tr>
      <w:tr w:rsidR="00014292" w:rsidRPr="003B0EB7" w14:paraId="35A62CB6" w14:textId="77777777" w:rsidTr="0036150F">
        <w:tc>
          <w:tcPr>
            <w:tcW w:w="7020" w:type="dxa"/>
          </w:tcPr>
          <w:p w14:paraId="766047AB" w14:textId="5C4EDE86" w:rsidR="00014292" w:rsidRPr="003B0EB7" w:rsidRDefault="008E50C9" w:rsidP="00014292">
            <w:pPr>
              <w:spacing w:after="120"/>
              <w:rPr>
                <w:rFonts w:cstheme="minorHAnsi"/>
                <w:b/>
                <w:bCs/>
              </w:rPr>
            </w:pPr>
            <w:r>
              <w:lastRenderedPageBreak/>
              <w:t xml:space="preserve">12. </w:t>
            </w:r>
            <w:r w:rsidR="00014292" w:rsidRPr="00E8428E">
              <w:t xml:space="preserve">Art.49.7 - </w:t>
            </w:r>
            <w:r w:rsidR="00014292">
              <w:t>aggiornare</w:t>
            </w:r>
            <w:r w:rsidR="00014292" w:rsidRPr="00E8428E">
              <w:t xml:space="preserve"> il riferimento alla DGR 2120/201</w:t>
            </w:r>
            <w:r w:rsidR="00014292">
              <w:t>9</w:t>
            </w:r>
            <w:r w:rsidR="00014292" w:rsidRPr="00E8428E">
              <w:t xml:space="preserve"> </w:t>
            </w:r>
            <w:r w:rsidR="00014292">
              <w:t>con la</w:t>
            </w:r>
            <w:r w:rsidR="00014292" w:rsidRPr="00E8428E">
              <w:t xml:space="preserve"> DGR 4685/2021</w:t>
            </w:r>
          </w:p>
        </w:tc>
        <w:tc>
          <w:tcPr>
            <w:tcW w:w="1200" w:type="dxa"/>
          </w:tcPr>
          <w:p w14:paraId="66AA718A" w14:textId="3EC7813F" w:rsidR="00014292" w:rsidRPr="003B0EB7" w:rsidRDefault="00014292" w:rsidP="00014292">
            <w:pPr>
              <w:rPr>
                <w:rFonts w:cstheme="minorHAnsi"/>
                <w:bCs/>
              </w:rPr>
            </w:pPr>
            <w:r>
              <w:rPr>
                <w:rFonts w:cstheme="minorHAnsi"/>
                <w:bCs/>
              </w:rPr>
              <w:t>Molinari</w:t>
            </w:r>
          </w:p>
        </w:tc>
        <w:tc>
          <w:tcPr>
            <w:tcW w:w="1408" w:type="dxa"/>
          </w:tcPr>
          <w:p w14:paraId="33D2B63E" w14:textId="5AB4495F" w:rsidR="00014292" w:rsidRPr="003B0EB7" w:rsidRDefault="00014292" w:rsidP="00014292">
            <w:pPr>
              <w:spacing w:after="120"/>
              <w:rPr>
                <w:rFonts w:cstheme="minorHAnsi"/>
                <w:bCs/>
              </w:rPr>
            </w:pPr>
          </w:p>
        </w:tc>
      </w:tr>
      <w:tr w:rsidR="00014292" w:rsidRPr="003B0EB7" w14:paraId="0850C5FD" w14:textId="77777777" w:rsidTr="0036150F">
        <w:tc>
          <w:tcPr>
            <w:tcW w:w="7020" w:type="dxa"/>
          </w:tcPr>
          <w:p w14:paraId="430E00D5" w14:textId="04A8DDB0" w:rsidR="00014292" w:rsidRPr="003B0EB7" w:rsidRDefault="008E50C9" w:rsidP="00014292">
            <w:pPr>
              <w:spacing w:after="120"/>
              <w:rPr>
                <w:rFonts w:cstheme="minorHAnsi"/>
                <w:b/>
                <w:bCs/>
              </w:rPr>
            </w:pPr>
            <w:r>
              <w:t xml:space="preserve">13. </w:t>
            </w:r>
            <w:r w:rsidR="00014292" w:rsidRPr="00E8428E">
              <w:t xml:space="preserve">Art. 49.1 </w:t>
            </w:r>
            <w:r w:rsidR="00014292">
              <w:t xml:space="preserve">- </w:t>
            </w:r>
            <w:r w:rsidR="00014292" w:rsidRPr="00E8428E">
              <w:t xml:space="preserve">rivedere </w:t>
            </w:r>
            <w:r w:rsidR="00014292">
              <w:t>complessivamente</w:t>
            </w:r>
            <w:r>
              <w:t xml:space="preserve"> l’articolo in particolare il </w:t>
            </w:r>
            <w:r w:rsidR="00014292">
              <w:t>riferimento</w:t>
            </w:r>
            <w:r>
              <w:t xml:space="preserve"> e l’associazione delle fasce PAI </w:t>
            </w:r>
            <w:r w:rsidRPr="008E50C9">
              <w:t>alle</w:t>
            </w:r>
            <w:r w:rsidR="00014292" w:rsidRPr="008E50C9">
              <w:t xml:space="preserve"> </w:t>
            </w:r>
            <w:r w:rsidRPr="008E50C9">
              <w:t>“</w:t>
            </w:r>
            <w:r w:rsidRPr="008E50C9">
              <w:rPr>
                <w:rFonts w:ascii="Arial Narrow" w:eastAsia="Arial Narrow" w:hAnsi="Arial Narrow"/>
                <w:sz w:val="24"/>
              </w:rPr>
              <w:t>aree a rischio idrogeologico molto elevato”</w:t>
            </w:r>
          </w:p>
        </w:tc>
        <w:tc>
          <w:tcPr>
            <w:tcW w:w="1200" w:type="dxa"/>
          </w:tcPr>
          <w:p w14:paraId="786DF7E6" w14:textId="77777777" w:rsidR="00014292" w:rsidRDefault="008E50C9" w:rsidP="00014292">
            <w:pPr>
              <w:rPr>
                <w:rFonts w:cstheme="minorHAnsi"/>
                <w:bCs/>
              </w:rPr>
            </w:pPr>
            <w:r>
              <w:rPr>
                <w:rFonts w:cstheme="minorHAnsi"/>
                <w:bCs/>
              </w:rPr>
              <w:t>Molinari</w:t>
            </w:r>
          </w:p>
          <w:p w14:paraId="0B42C67F" w14:textId="2D8B4A36" w:rsidR="008E50C9" w:rsidRPr="003B0EB7" w:rsidRDefault="008E50C9" w:rsidP="00014292">
            <w:pPr>
              <w:rPr>
                <w:rFonts w:cstheme="minorHAnsi"/>
                <w:bCs/>
              </w:rPr>
            </w:pPr>
            <w:r>
              <w:rPr>
                <w:rFonts w:cstheme="minorHAnsi"/>
                <w:bCs/>
              </w:rPr>
              <w:t>Caleffi</w:t>
            </w:r>
          </w:p>
        </w:tc>
        <w:tc>
          <w:tcPr>
            <w:tcW w:w="1408" w:type="dxa"/>
          </w:tcPr>
          <w:p w14:paraId="1BC5A4D2" w14:textId="453114A1" w:rsidR="00014292" w:rsidRPr="003B0EB7" w:rsidRDefault="00014292" w:rsidP="00014292">
            <w:pPr>
              <w:spacing w:after="120"/>
              <w:rPr>
                <w:rFonts w:cstheme="minorHAnsi"/>
                <w:bCs/>
              </w:rPr>
            </w:pPr>
          </w:p>
        </w:tc>
      </w:tr>
      <w:tr w:rsidR="00014292" w:rsidRPr="003B0EB7" w14:paraId="480E8D57" w14:textId="77777777" w:rsidTr="0036150F">
        <w:tc>
          <w:tcPr>
            <w:tcW w:w="7020" w:type="dxa"/>
          </w:tcPr>
          <w:p w14:paraId="1DC82925" w14:textId="77DCBEB1" w:rsidR="00014292" w:rsidRPr="003B0EB7" w:rsidRDefault="008E50C9" w:rsidP="00014292">
            <w:pPr>
              <w:spacing w:after="120"/>
              <w:rPr>
                <w:rFonts w:cstheme="minorHAnsi"/>
                <w:b/>
                <w:bCs/>
              </w:rPr>
            </w:pPr>
            <w:r>
              <w:t xml:space="preserve">14. </w:t>
            </w:r>
            <w:r w:rsidR="00014292" w:rsidRPr="00E8428E">
              <w:t xml:space="preserve">Art.49.3 </w:t>
            </w:r>
            <w:r>
              <w:t>–</w:t>
            </w:r>
            <w:r w:rsidR="00014292" w:rsidRPr="00E8428E">
              <w:t xml:space="preserve"> </w:t>
            </w:r>
            <w:r>
              <w:t>vedasi osservazione n. 4.</w:t>
            </w:r>
          </w:p>
        </w:tc>
        <w:tc>
          <w:tcPr>
            <w:tcW w:w="1200" w:type="dxa"/>
          </w:tcPr>
          <w:p w14:paraId="22DF26B1" w14:textId="0E19645F" w:rsidR="00014292" w:rsidRPr="003B0EB7" w:rsidRDefault="008E50C9" w:rsidP="00014292">
            <w:pPr>
              <w:rPr>
                <w:rFonts w:cstheme="minorHAnsi"/>
                <w:bCs/>
              </w:rPr>
            </w:pPr>
            <w:r>
              <w:rPr>
                <w:rFonts w:cstheme="minorHAnsi"/>
                <w:bCs/>
              </w:rPr>
              <w:t>Molinari</w:t>
            </w:r>
          </w:p>
        </w:tc>
        <w:tc>
          <w:tcPr>
            <w:tcW w:w="1408" w:type="dxa"/>
          </w:tcPr>
          <w:p w14:paraId="65DC1B42" w14:textId="70CE443A" w:rsidR="00014292" w:rsidRPr="003B0EB7" w:rsidRDefault="00014292" w:rsidP="00014292">
            <w:pPr>
              <w:spacing w:after="120"/>
              <w:rPr>
                <w:rFonts w:cstheme="minorHAnsi"/>
                <w:bCs/>
              </w:rPr>
            </w:pPr>
          </w:p>
        </w:tc>
      </w:tr>
      <w:tr w:rsidR="00014292" w:rsidRPr="003B0EB7" w14:paraId="17E33FEA" w14:textId="77777777" w:rsidTr="0036150F">
        <w:tc>
          <w:tcPr>
            <w:tcW w:w="7020" w:type="dxa"/>
          </w:tcPr>
          <w:p w14:paraId="71511EB1" w14:textId="2EE967F4" w:rsidR="00014292" w:rsidRPr="003B0EB7" w:rsidRDefault="008E50C9" w:rsidP="00014292">
            <w:pPr>
              <w:spacing w:after="120"/>
              <w:rPr>
                <w:rFonts w:cstheme="minorHAnsi"/>
                <w:b/>
                <w:bCs/>
              </w:rPr>
            </w:pPr>
            <w:r>
              <w:t xml:space="preserve">15. </w:t>
            </w:r>
            <w:r w:rsidR="00014292" w:rsidRPr="00E8428E">
              <w:t xml:space="preserve">Art.50.1 </w:t>
            </w:r>
            <w:r>
              <w:t>-</w:t>
            </w:r>
            <w:r w:rsidR="00014292" w:rsidRPr="00E8428E">
              <w:t xml:space="preserve"> </w:t>
            </w:r>
            <w:r>
              <w:t xml:space="preserve">oltre agli art. 29, 30, e 31 </w:t>
            </w:r>
            <w:r w:rsidRPr="00E8428E">
              <w:t>delle NdA del PAI</w:t>
            </w:r>
            <w:r>
              <w:t>,</w:t>
            </w:r>
            <w:r w:rsidRPr="00E8428E">
              <w:t xml:space="preserve"> </w:t>
            </w:r>
            <w:r w:rsidR="00014292" w:rsidRPr="00E8428E">
              <w:t xml:space="preserve">richiamare anche l’art. 39 </w:t>
            </w:r>
          </w:p>
        </w:tc>
        <w:tc>
          <w:tcPr>
            <w:tcW w:w="1200" w:type="dxa"/>
          </w:tcPr>
          <w:p w14:paraId="50134F35" w14:textId="5D78C8B7" w:rsidR="00014292" w:rsidRPr="003B0EB7" w:rsidRDefault="008E50C9" w:rsidP="00014292">
            <w:pPr>
              <w:rPr>
                <w:rFonts w:cstheme="minorHAnsi"/>
                <w:bCs/>
              </w:rPr>
            </w:pPr>
            <w:r>
              <w:rPr>
                <w:rFonts w:cstheme="minorHAnsi"/>
                <w:bCs/>
              </w:rPr>
              <w:t>Molinari</w:t>
            </w:r>
          </w:p>
        </w:tc>
        <w:tc>
          <w:tcPr>
            <w:tcW w:w="1408" w:type="dxa"/>
          </w:tcPr>
          <w:p w14:paraId="0FD2751B" w14:textId="3EC53301" w:rsidR="00014292" w:rsidRPr="003B0EB7" w:rsidRDefault="00014292" w:rsidP="00014292">
            <w:pPr>
              <w:spacing w:after="120"/>
              <w:rPr>
                <w:rFonts w:cstheme="minorHAnsi"/>
                <w:bCs/>
              </w:rPr>
            </w:pPr>
          </w:p>
        </w:tc>
      </w:tr>
      <w:tr w:rsidR="00014292" w:rsidRPr="00AC5DFD" w14:paraId="570AB73C" w14:textId="77777777" w:rsidTr="0036150F">
        <w:tc>
          <w:tcPr>
            <w:tcW w:w="7020" w:type="dxa"/>
          </w:tcPr>
          <w:p w14:paraId="2E92C60E" w14:textId="1E81E415" w:rsidR="003B0EB7" w:rsidRPr="00AC5DFD" w:rsidRDefault="008E50C9" w:rsidP="00AC5DFD">
            <w:pPr>
              <w:spacing w:before="120" w:after="120"/>
              <w:rPr>
                <w:rFonts w:cstheme="minorHAnsi"/>
                <w:b/>
                <w:bCs/>
              </w:rPr>
            </w:pPr>
            <w:r w:rsidRPr="00AC5DFD">
              <w:rPr>
                <w:rFonts w:cstheme="minorHAnsi"/>
                <w:b/>
                <w:bCs/>
              </w:rPr>
              <w:t>3.2 COMPATIBILITA’ CON ATTI DI PROGRAMMAZIONE</w:t>
            </w:r>
            <w:r w:rsidR="00DD5B07" w:rsidRPr="00AC5DFD">
              <w:rPr>
                <w:rFonts w:cstheme="minorHAnsi"/>
                <w:b/>
                <w:bCs/>
              </w:rPr>
              <w:t>/</w:t>
            </w:r>
            <w:r w:rsidRPr="00AC5DFD">
              <w:rPr>
                <w:rFonts w:cstheme="minorHAnsi"/>
                <w:b/>
                <w:bCs/>
              </w:rPr>
              <w:t>PIANIFICAZIONE REGIONALE</w:t>
            </w:r>
          </w:p>
        </w:tc>
        <w:tc>
          <w:tcPr>
            <w:tcW w:w="1200" w:type="dxa"/>
          </w:tcPr>
          <w:p w14:paraId="4FC4DEAD" w14:textId="77777777" w:rsidR="003B0EB7" w:rsidRPr="00DD5B07" w:rsidRDefault="003B0EB7" w:rsidP="00AC5DFD">
            <w:pPr>
              <w:spacing w:before="120" w:after="120"/>
              <w:rPr>
                <w:rFonts w:cstheme="minorHAnsi"/>
                <w:b/>
                <w:bCs/>
              </w:rPr>
            </w:pPr>
          </w:p>
        </w:tc>
        <w:tc>
          <w:tcPr>
            <w:tcW w:w="1408" w:type="dxa"/>
          </w:tcPr>
          <w:p w14:paraId="4E9F79A6" w14:textId="77777777" w:rsidR="003B0EB7" w:rsidRPr="00DD5B07" w:rsidRDefault="003B0EB7" w:rsidP="00AC5DFD">
            <w:pPr>
              <w:spacing w:before="120" w:after="120"/>
              <w:rPr>
                <w:rFonts w:cstheme="minorHAnsi"/>
                <w:b/>
                <w:bCs/>
              </w:rPr>
            </w:pPr>
          </w:p>
        </w:tc>
      </w:tr>
      <w:tr w:rsidR="00014292" w:rsidRPr="00DD5B07" w14:paraId="37800AC2" w14:textId="77777777" w:rsidTr="0036150F">
        <w:tc>
          <w:tcPr>
            <w:tcW w:w="7020" w:type="dxa"/>
          </w:tcPr>
          <w:p w14:paraId="51246225" w14:textId="489D671A" w:rsidR="003B0EB7" w:rsidRPr="00DD5B07" w:rsidRDefault="004F706A" w:rsidP="00DD5B07">
            <w:pPr>
              <w:pStyle w:val="Default"/>
              <w:rPr>
                <w:rFonts w:asciiTheme="minorHAnsi" w:hAnsiTheme="minorHAnsi" w:cstheme="minorHAnsi"/>
                <w:i/>
                <w:iCs/>
                <w:spacing w:val="-6"/>
                <w:sz w:val="22"/>
                <w:szCs w:val="22"/>
              </w:rPr>
            </w:pPr>
            <w:r w:rsidRPr="00DD5B07">
              <w:rPr>
                <w:rFonts w:asciiTheme="minorHAnsi" w:hAnsiTheme="minorHAnsi" w:cstheme="minorHAnsi"/>
                <w:b/>
                <w:bCs/>
                <w:i/>
                <w:iCs/>
                <w:spacing w:val="-6"/>
                <w:sz w:val="22"/>
                <w:szCs w:val="22"/>
              </w:rPr>
              <w:t xml:space="preserve">DG TERRITORIO E PROTEZIONE CIVILE </w:t>
            </w:r>
            <w:r w:rsidR="00DD5B07" w:rsidRPr="00DD5B07">
              <w:rPr>
                <w:rFonts w:asciiTheme="minorHAnsi" w:hAnsiTheme="minorHAnsi" w:cstheme="minorHAnsi"/>
                <w:b/>
                <w:bCs/>
                <w:i/>
                <w:iCs/>
                <w:spacing w:val="-6"/>
                <w:sz w:val="22"/>
                <w:szCs w:val="22"/>
              </w:rPr>
              <w:t xml:space="preserve">- </w:t>
            </w:r>
            <w:r w:rsidRPr="00DD5B07">
              <w:rPr>
                <w:rFonts w:asciiTheme="minorHAnsi" w:hAnsiTheme="minorHAnsi" w:cstheme="minorHAnsi"/>
                <w:b/>
                <w:bCs/>
                <w:spacing w:val="-6"/>
                <w:sz w:val="22"/>
                <w:szCs w:val="22"/>
              </w:rPr>
              <w:t>UO Programmazione territoriale e Paesistica</w:t>
            </w:r>
          </w:p>
        </w:tc>
        <w:tc>
          <w:tcPr>
            <w:tcW w:w="1200" w:type="dxa"/>
          </w:tcPr>
          <w:p w14:paraId="7BD60E1D" w14:textId="77777777" w:rsidR="003B0EB7" w:rsidRPr="00DD5B07" w:rsidRDefault="003B0EB7" w:rsidP="00EE5F3D">
            <w:pPr>
              <w:rPr>
                <w:rFonts w:cstheme="minorHAnsi"/>
                <w:bCs/>
              </w:rPr>
            </w:pPr>
          </w:p>
        </w:tc>
        <w:tc>
          <w:tcPr>
            <w:tcW w:w="1408" w:type="dxa"/>
          </w:tcPr>
          <w:p w14:paraId="5DE86538" w14:textId="77777777" w:rsidR="003B0EB7" w:rsidRPr="00DD5B07" w:rsidRDefault="003B0EB7" w:rsidP="008926AF">
            <w:pPr>
              <w:spacing w:after="120"/>
              <w:rPr>
                <w:rFonts w:cstheme="minorHAnsi"/>
                <w:bCs/>
              </w:rPr>
            </w:pPr>
          </w:p>
        </w:tc>
      </w:tr>
      <w:tr w:rsidR="00014292" w:rsidRPr="00571DA5" w14:paraId="559814DC" w14:textId="77777777" w:rsidTr="0036150F">
        <w:tc>
          <w:tcPr>
            <w:tcW w:w="7020" w:type="dxa"/>
          </w:tcPr>
          <w:p w14:paraId="46298027" w14:textId="3C6FA49C" w:rsidR="003B0EB7" w:rsidRPr="00571DA5" w:rsidRDefault="00DD5B07" w:rsidP="00571DA5">
            <w:pPr>
              <w:spacing w:before="60" w:after="120"/>
              <w:rPr>
                <w:i/>
                <w:iCs/>
                <w:u w:val="single"/>
              </w:rPr>
            </w:pPr>
            <w:r w:rsidRPr="00571DA5">
              <w:rPr>
                <w:i/>
                <w:iCs/>
                <w:u w:val="single"/>
              </w:rPr>
              <w:t>consumo di suolo</w:t>
            </w:r>
          </w:p>
        </w:tc>
        <w:tc>
          <w:tcPr>
            <w:tcW w:w="1200" w:type="dxa"/>
          </w:tcPr>
          <w:p w14:paraId="4126438A" w14:textId="77777777" w:rsidR="003B0EB7" w:rsidRPr="00571DA5" w:rsidRDefault="003B0EB7" w:rsidP="00571DA5">
            <w:pPr>
              <w:spacing w:before="60" w:after="120"/>
              <w:rPr>
                <w:i/>
                <w:iCs/>
                <w:u w:val="single"/>
              </w:rPr>
            </w:pPr>
          </w:p>
        </w:tc>
        <w:tc>
          <w:tcPr>
            <w:tcW w:w="1408" w:type="dxa"/>
          </w:tcPr>
          <w:p w14:paraId="73F9EA22" w14:textId="77777777" w:rsidR="003B0EB7" w:rsidRPr="00571DA5" w:rsidRDefault="003B0EB7" w:rsidP="00571DA5">
            <w:pPr>
              <w:spacing w:before="60" w:after="120"/>
              <w:rPr>
                <w:i/>
                <w:iCs/>
                <w:u w:val="single"/>
              </w:rPr>
            </w:pPr>
          </w:p>
        </w:tc>
      </w:tr>
      <w:tr w:rsidR="00DD5B07" w:rsidRPr="00DD5B07" w14:paraId="37C7B716" w14:textId="77777777" w:rsidTr="0036150F">
        <w:tc>
          <w:tcPr>
            <w:tcW w:w="7020" w:type="dxa"/>
          </w:tcPr>
          <w:p w14:paraId="4BAC69C2" w14:textId="0354E207" w:rsidR="00DD5B07" w:rsidRPr="00DD5B07" w:rsidRDefault="004F1F7E" w:rsidP="00DD5B07">
            <w:pPr>
              <w:spacing w:after="120"/>
              <w:rPr>
                <w:rFonts w:cstheme="minorHAnsi"/>
                <w:b/>
                <w:bCs/>
              </w:rPr>
            </w:pPr>
            <w:r>
              <w:rPr>
                <w:rFonts w:cstheme="minorHAnsi"/>
              </w:rPr>
              <w:t xml:space="preserve">16. </w:t>
            </w:r>
            <w:r w:rsidR="00DD5B07" w:rsidRPr="00DD5B07">
              <w:rPr>
                <w:rFonts w:cstheme="minorHAnsi"/>
              </w:rPr>
              <w:t xml:space="preserve">Art. 10 IN </w:t>
            </w:r>
            <w:r>
              <w:rPr>
                <w:rFonts w:cstheme="minorHAnsi"/>
              </w:rPr>
              <w:t>-</w:t>
            </w:r>
            <w:r w:rsidR="00DD5B07" w:rsidRPr="00DD5B07">
              <w:rPr>
                <w:rFonts w:cstheme="minorHAnsi"/>
              </w:rPr>
              <w:t xml:space="preserve"> </w:t>
            </w:r>
            <w:r>
              <w:rPr>
                <w:rFonts w:cstheme="minorHAnsi"/>
              </w:rPr>
              <w:t>R</w:t>
            </w:r>
            <w:r w:rsidR="00DD5B07" w:rsidRPr="00DD5B07">
              <w:rPr>
                <w:rFonts w:cstheme="minorHAnsi"/>
              </w:rPr>
              <w:t xml:space="preserve">ichiamare gli </w:t>
            </w:r>
            <w:proofErr w:type="spellStart"/>
            <w:r w:rsidR="00DD5B07" w:rsidRPr="00DD5B07">
              <w:rPr>
                <w:rFonts w:cstheme="minorHAnsi"/>
              </w:rPr>
              <w:t>Ato</w:t>
            </w:r>
            <w:proofErr w:type="spellEnd"/>
            <w:r w:rsidR="00DD5B07" w:rsidRPr="00DD5B07">
              <w:rPr>
                <w:rFonts w:cstheme="minorHAnsi"/>
              </w:rPr>
              <w:t>, quali ulteriori ambiti sovra comunali cui riferirsi per i “bilanci d’area”</w:t>
            </w:r>
            <w:r>
              <w:rPr>
                <w:rFonts w:cstheme="minorHAnsi"/>
              </w:rPr>
              <w:t>.</w:t>
            </w:r>
          </w:p>
        </w:tc>
        <w:tc>
          <w:tcPr>
            <w:tcW w:w="1200" w:type="dxa"/>
          </w:tcPr>
          <w:p w14:paraId="30621D3B" w14:textId="5448CDF8" w:rsidR="00DD5B07" w:rsidRPr="00DD5B07" w:rsidRDefault="000510A7" w:rsidP="00DD5B07">
            <w:pPr>
              <w:rPr>
                <w:rFonts w:cstheme="minorHAnsi"/>
                <w:bCs/>
              </w:rPr>
            </w:pPr>
            <w:r>
              <w:rPr>
                <w:rFonts w:cstheme="minorHAnsi"/>
                <w:bCs/>
              </w:rPr>
              <w:t>Redolfi</w:t>
            </w:r>
          </w:p>
        </w:tc>
        <w:tc>
          <w:tcPr>
            <w:tcW w:w="1408" w:type="dxa"/>
          </w:tcPr>
          <w:p w14:paraId="3F082D89" w14:textId="1037BCDA" w:rsidR="00DD5B07" w:rsidRPr="00DD5B07" w:rsidRDefault="00DD5B07" w:rsidP="00DD5B07">
            <w:pPr>
              <w:spacing w:after="120"/>
              <w:rPr>
                <w:rFonts w:cstheme="minorHAnsi"/>
                <w:bCs/>
              </w:rPr>
            </w:pPr>
          </w:p>
        </w:tc>
      </w:tr>
      <w:tr w:rsidR="00DD5B07" w:rsidRPr="00DD5B07" w14:paraId="1070E1B8" w14:textId="77777777" w:rsidTr="0036150F">
        <w:tc>
          <w:tcPr>
            <w:tcW w:w="7020" w:type="dxa"/>
          </w:tcPr>
          <w:p w14:paraId="03C7AA6D" w14:textId="696A9A7D" w:rsidR="00DD5B07" w:rsidRPr="006B59ED" w:rsidRDefault="00144B9D" w:rsidP="00DD5B07">
            <w:pPr>
              <w:spacing w:after="120"/>
              <w:rPr>
                <w:rFonts w:cstheme="minorHAnsi"/>
                <w:b/>
                <w:bCs/>
                <w:spacing w:val="-4"/>
              </w:rPr>
            </w:pPr>
            <w:r w:rsidRPr="006B59ED">
              <w:rPr>
                <w:rFonts w:cstheme="minorHAnsi"/>
                <w:spacing w:val="-4"/>
              </w:rPr>
              <w:t>17. I</w:t>
            </w:r>
            <w:r w:rsidR="00DD5B07" w:rsidRPr="006B59ED">
              <w:rPr>
                <w:rFonts w:cstheme="minorHAnsi"/>
                <w:spacing w:val="-4"/>
              </w:rPr>
              <w:t>nserire un richiamo ai criteri qualitativi</w:t>
            </w:r>
            <w:r w:rsidRPr="006B59ED">
              <w:rPr>
                <w:rFonts w:cstheme="minorHAnsi"/>
                <w:spacing w:val="-4"/>
              </w:rPr>
              <w:t xml:space="preserve"> dell’</w:t>
            </w:r>
            <w:r w:rsidR="00DD5B07" w:rsidRPr="006B59ED">
              <w:rPr>
                <w:rFonts w:cstheme="minorHAnsi"/>
                <w:spacing w:val="-4"/>
              </w:rPr>
              <w:t xml:space="preserve">Integrazione PTR proposti a </w:t>
            </w:r>
            <w:r w:rsidRPr="006B59ED">
              <w:rPr>
                <w:rFonts w:cstheme="minorHAnsi"/>
                <w:spacing w:val="-4"/>
              </w:rPr>
              <w:t>P</w:t>
            </w:r>
            <w:r w:rsidR="00DD5B07" w:rsidRPr="006B59ED">
              <w:rPr>
                <w:rFonts w:cstheme="minorHAnsi"/>
                <w:spacing w:val="-4"/>
              </w:rPr>
              <w:t xml:space="preserve">rovince e </w:t>
            </w:r>
            <w:r w:rsidRPr="006B59ED">
              <w:rPr>
                <w:rFonts w:cstheme="minorHAnsi"/>
                <w:spacing w:val="-4"/>
              </w:rPr>
              <w:t>C</w:t>
            </w:r>
            <w:r w:rsidR="00DD5B07" w:rsidRPr="006B59ED">
              <w:rPr>
                <w:rFonts w:cstheme="minorHAnsi"/>
                <w:spacing w:val="-4"/>
              </w:rPr>
              <w:t xml:space="preserve">omuni quali “Criteri per orientare la riduzione del consumo di suolo per </w:t>
            </w:r>
            <w:proofErr w:type="spellStart"/>
            <w:r w:rsidR="00DD5B07" w:rsidRPr="006B59ED">
              <w:rPr>
                <w:rFonts w:cstheme="minorHAnsi"/>
                <w:spacing w:val="-4"/>
              </w:rPr>
              <w:t>Ato</w:t>
            </w:r>
            <w:proofErr w:type="spellEnd"/>
            <w:r w:rsidR="00DD5B07" w:rsidRPr="006B59ED">
              <w:rPr>
                <w:rFonts w:cstheme="minorHAnsi"/>
                <w:spacing w:val="-4"/>
              </w:rPr>
              <w:t>”</w:t>
            </w:r>
            <w:r w:rsidRPr="006B59ED">
              <w:rPr>
                <w:rFonts w:cstheme="minorHAnsi"/>
                <w:spacing w:val="-4"/>
              </w:rPr>
              <w:t>.</w:t>
            </w:r>
          </w:p>
        </w:tc>
        <w:tc>
          <w:tcPr>
            <w:tcW w:w="1200" w:type="dxa"/>
          </w:tcPr>
          <w:p w14:paraId="1DE1CC80" w14:textId="4A43D7FE" w:rsidR="00DD5B07" w:rsidRPr="00DD5B07" w:rsidRDefault="000510A7" w:rsidP="00DD5B07">
            <w:pPr>
              <w:rPr>
                <w:rFonts w:cstheme="minorHAnsi"/>
                <w:bCs/>
              </w:rPr>
            </w:pPr>
            <w:r>
              <w:rPr>
                <w:rFonts w:cstheme="minorHAnsi"/>
                <w:bCs/>
              </w:rPr>
              <w:t>Redolfi</w:t>
            </w:r>
          </w:p>
        </w:tc>
        <w:tc>
          <w:tcPr>
            <w:tcW w:w="1408" w:type="dxa"/>
          </w:tcPr>
          <w:p w14:paraId="7A6F071D" w14:textId="5F2F571B" w:rsidR="00DD5B07" w:rsidRPr="00DD5B07" w:rsidRDefault="00DD5B07" w:rsidP="00DD5B07">
            <w:pPr>
              <w:spacing w:after="120"/>
              <w:rPr>
                <w:rFonts w:cstheme="minorHAnsi"/>
                <w:bCs/>
              </w:rPr>
            </w:pPr>
          </w:p>
        </w:tc>
      </w:tr>
      <w:tr w:rsidR="00DD5B07" w:rsidRPr="00DD5B07" w14:paraId="53489009" w14:textId="77777777" w:rsidTr="0036150F">
        <w:tc>
          <w:tcPr>
            <w:tcW w:w="7020" w:type="dxa"/>
          </w:tcPr>
          <w:p w14:paraId="558FFED3" w14:textId="6C0C4940" w:rsidR="00DD5B07" w:rsidRPr="00DD5B07" w:rsidRDefault="006B59ED" w:rsidP="00DD5B07">
            <w:pPr>
              <w:spacing w:after="120"/>
              <w:rPr>
                <w:rFonts w:cstheme="minorHAnsi"/>
                <w:b/>
                <w:bCs/>
              </w:rPr>
            </w:pPr>
            <w:r>
              <w:rPr>
                <w:rFonts w:cstheme="minorHAnsi"/>
              </w:rPr>
              <w:t xml:space="preserve">18. </w:t>
            </w:r>
            <w:r w:rsidR="00DD5B07" w:rsidRPr="00DD5B07">
              <w:rPr>
                <w:rFonts w:cstheme="minorHAnsi"/>
              </w:rPr>
              <w:t xml:space="preserve">art. 47 IN e Allegato tecnico 1 </w:t>
            </w:r>
            <w:r>
              <w:rPr>
                <w:rFonts w:cstheme="minorHAnsi"/>
              </w:rPr>
              <w:t>-</w:t>
            </w:r>
            <w:r w:rsidR="00DD5B07" w:rsidRPr="00DD5B07">
              <w:rPr>
                <w:rFonts w:cstheme="minorHAnsi"/>
              </w:rPr>
              <w:t xml:space="preserve"> </w:t>
            </w:r>
            <w:r>
              <w:rPr>
                <w:rFonts w:cstheme="minorHAnsi"/>
              </w:rPr>
              <w:t>D</w:t>
            </w:r>
            <w:r w:rsidR="00DD5B07" w:rsidRPr="00DD5B07">
              <w:rPr>
                <w:rFonts w:cstheme="minorHAnsi"/>
              </w:rPr>
              <w:t>escrivere l’indicatore di sintesi introdotto nel PTCP per leggere unitariamente gli indicatori assunti dall’Integrazione PTR</w:t>
            </w:r>
            <w:r>
              <w:rPr>
                <w:rFonts w:cstheme="minorHAnsi"/>
              </w:rPr>
              <w:t>.</w:t>
            </w:r>
          </w:p>
        </w:tc>
        <w:tc>
          <w:tcPr>
            <w:tcW w:w="1200" w:type="dxa"/>
          </w:tcPr>
          <w:p w14:paraId="102FBA39" w14:textId="27C21081" w:rsidR="00DD5B07" w:rsidRPr="00DD5B07" w:rsidRDefault="000510A7" w:rsidP="00DD5B07">
            <w:pPr>
              <w:rPr>
                <w:rFonts w:cstheme="minorHAnsi"/>
                <w:bCs/>
              </w:rPr>
            </w:pPr>
            <w:r>
              <w:rPr>
                <w:rFonts w:cstheme="minorHAnsi"/>
                <w:bCs/>
              </w:rPr>
              <w:t>Redolfi</w:t>
            </w:r>
          </w:p>
        </w:tc>
        <w:tc>
          <w:tcPr>
            <w:tcW w:w="1408" w:type="dxa"/>
          </w:tcPr>
          <w:p w14:paraId="1207E0D2" w14:textId="0FB7D7EA" w:rsidR="00DD5B07" w:rsidRPr="00DD5B07" w:rsidRDefault="00DD5B07" w:rsidP="00DD5B07">
            <w:pPr>
              <w:spacing w:after="120"/>
              <w:rPr>
                <w:rFonts w:cstheme="minorHAnsi"/>
                <w:bCs/>
              </w:rPr>
            </w:pPr>
          </w:p>
        </w:tc>
      </w:tr>
      <w:tr w:rsidR="00DD5B07" w:rsidRPr="00DD5B07" w14:paraId="031A39D3" w14:textId="77777777" w:rsidTr="0036150F">
        <w:tc>
          <w:tcPr>
            <w:tcW w:w="7020" w:type="dxa"/>
          </w:tcPr>
          <w:p w14:paraId="21CA8881" w14:textId="0D01F5B7" w:rsidR="00DD5B07" w:rsidRPr="00DD5B07" w:rsidRDefault="006B59ED" w:rsidP="00DD5B07">
            <w:pPr>
              <w:spacing w:after="120"/>
              <w:rPr>
                <w:rFonts w:cstheme="minorHAnsi"/>
                <w:b/>
                <w:bCs/>
              </w:rPr>
            </w:pPr>
            <w:r>
              <w:rPr>
                <w:rFonts w:cstheme="minorHAnsi"/>
              </w:rPr>
              <w:t xml:space="preserve">19. </w:t>
            </w:r>
            <w:r w:rsidR="00DD5B07" w:rsidRPr="00DD5B07">
              <w:rPr>
                <w:rFonts w:cstheme="minorHAnsi"/>
              </w:rPr>
              <w:t>art. 47 IN e Allegato tecnico 1 – chiarire nelle tabelle che le superfici cui riferirsi nell’applicazione del valore percentuale di riduzione sono quelle degli Ambiti di Trasformazione (AT) dei PGT vigenti al 02/12/2014 (data di entrata in vigore della LR 31/2014)</w:t>
            </w:r>
          </w:p>
        </w:tc>
        <w:tc>
          <w:tcPr>
            <w:tcW w:w="1200" w:type="dxa"/>
          </w:tcPr>
          <w:p w14:paraId="71E39188" w14:textId="5AFFE78C" w:rsidR="00DD5B07" w:rsidRPr="00DD5B07" w:rsidRDefault="000510A7" w:rsidP="00DD5B07">
            <w:pPr>
              <w:rPr>
                <w:rFonts w:cstheme="minorHAnsi"/>
                <w:bCs/>
              </w:rPr>
            </w:pPr>
            <w:r>
              <w:rPr>
                <w:rFonts w:cstheme="minorHAnsi"/>
                <w:bCs/>
              </w:rPr>
              <w:t>Redolfi</w:t>
            </w:r>
          </w:p>
        </w:tc>
        <w:tc>
          <w:tcPr>
            <w:tcW w:w="1408" w:type="dxa"/>
          </w:tcPr>
          <w:p w14:paraId="4252F1FC" w14:textId="0B3D19E3" w:rsidR="00DD5B07" w:rsidRPr="00DD5B07" w:rsidRDefault="00DD5B07" w:rsidP="00DD5B07">
            <w:pPr>
              <w:spacing w:after="120"/>
              <w:rPr>
                <w:rFonts w:cstheme="minorHAnsi"/>
                <w:bCs/>
              </w:rPr>
            </w:pPr>
          </w:p>
        </w:tc>
      </w:tr>
      <w:tr w:rsidR="00DD5B07" w:rsidRPr="00DD5B07" w14:paraId="4E7E84D5" w14:textId="77777777" w:rsidTr="0036150F">
        <w:tc>
          <w:tcPr>
            <w:tcW w:w="7020" w:type="dxa"/>
          </w:tcPr>
          <w:p w14:paraId="20290EFF" w14:textId="424E489D" w:rsidR="00DD5B07" w:rsidRPr="001B6603" w:rsidRDefault="00687B28" w:rsidP="00DD5B07">
            <w:pPr>
              <w:spacing w:after="120"/>
              <w:rPr>
                <w:rFonts w:cstheme="minorHAnsi"/>
                <w:b/>
                <w:bCs/>
                <w:spacing w:val="-4"/>
              </w:rPr>
            </w:pPr>
            <w:r w:rsidRPr="001B6603">
              <w:rPr>
                <w:rFonts w:cstheme="minorHAnsi"/>
                <w:spacing w:val="-4"/>
              </w:rPr>
              <w:t>20. I</w:t>
            </w:r>
            <w:r w:rsidR="00DD5B07" w:rsidRPr="001B6603">
              <w:rPr>
                <w:rFonts w:cstheme="minorHAnsi"/>
                <w:spacing w:val="-4"/>
              </w:rPr>
              <w:t xml:space="preserve">n riferimento alla considerazione delle riduzioni già effettuate da alcuni Comuni, si segnala che, “le quantità ridotte eccedenti la soglia minima attribuita”, anziché essere ridistribuite sui Comuni, potrebbero essere mantenute dalla Provincia costituendo una riserva, per “bilanciare” il consumo di suolo determinato </w:t>
            </w:r>
            <w:r w:rsidRPr="001B6603">
              <w:rPr>
                <w:rFonts w:cstheme="minorHAnsi"/>
                <w:spacing w:val="-4"/>
              </w:rPr>
              <w:t>da</w:t>
            </w:r>
            <w:r w:rsidR="00DD5B07" w:rsidRPr="001B6603">
              <w:rPr>
                <w:rFonts w:cstheme="minorHAnsi"/>
                <w:spacing w:val="-4"/>
              </w:rPr>
              <w:t xml:space="preserve"> </w:t>
            </w:r>
            <w:r w:rsidRPr="001B6603">
              <w:rPr>
                <w:rFonts w:cstheme="minorHAnsi"/>
                <w:spacing w:val="-4"/>
              </w:rPr>
              <w:t xml:space="preserve">eventuali </w:t>
            </w:r>
            <w:r w:rsidR="00DD5B07" w:rsidRPr="001B6603">
              <w:rPr>
                <w:rFonts w:cstheme="minorHAnsi"/>
                <w:spacing w:val="-4"/>
              </w:rPr>
              <w:t>varianti PGT, giustificate da un comprovato fabbisogno</w:t>
            </w:r>
            <w:r w:rsidR="001B6603" w:rsidRPr="001B6603">
              <w:rPr>
                <w:rFonts w:cstheme="minorHAnsi"/>
                <w:spacing w:val="-4"/>
              </w:rPr>
              <w:t>,</w:t>
            </w:r>
            <w:r w:rsidR="00DD5B07" w:rsidRPr="001B6603">
              <w:rPr>
                <w:rFonts w:cstheme="minorHAnsi"/>
                <w:spacing w:val="-4"/>
              </w:rPr>
              <w:t xml:space="preserve"> </w:t>
            </w:r>
            <w:r w:rsidRPr="001B6603">
              <w:rPr>
                <w:rFonts w:cstheme="minorHAnsi"/>
                <w:spacing w:val="-4"/>
              </w:rPr>
              <w:t xml:space="preserve">in assenza di </w:t>
            </w:r>
            <w:r w:rsidR="00DD5B07" w:rsidRPr="001B6603">
              <w:rPr>
                <w:rFonts w:cstheme="minorHAnsi"/>
                <w:spacing w:val="-4"/>
              </w:rPr>
              <w:t>ambiti di trasformazione</w:t>
            </w:r>
            <w:r w:rsidRPr="001B6603">
              <w:rPr>
                <w:rFonts w:cstheme="minorHAnsi"/>
                <w:spacing w:val="-4"/>
              </w:rPr>
              <w:t xml:space="preserve"> adeguati</w:t>
            </w:r>
            <w:r w:rsidR="001B6603" w:rsidRPr="001B6603">
              <w:rPr>
                <w:rFonts w:cstheme="minorHAnsi"/>
                <w:spacing w:val="-4"/>
              </w:rPr>
              <w:t>;</w:t>
            </w:r>
            <w:r w:rsidR="00DD5B07" w:rsidRPr="001B6603">
              <w:rPr>
                <w:rFonts w:cstheme="minorHAnsi"/>
                <w:spacing w:val="-4"/>
              </w:rPr>
              <w:t xml:space="preserve"> oppure </w:t>
            </w:r>
            <w:r w:rsidR="001B6603" w:rsidRPr="001B6603">
              <w:rPr>
                <w:rFonts w:cstheme="minorHAnsi"/>
                <w:spacing w:val="-4"/>
              </w:rPr>
              <w:t xml:space="preserve">dalle </w:t>
            </w:r>
            <w:r w:rsidR="00DD5B07" w:rsidRPr="001B6603">
              <w:rPr>
                <w:rFonts w:cstheme="minorHAnsi"/>
                <w:spacing w:val="-4"/>
              </w:rPr>
              <w:t>varianti PGT che concorrono esclusivamente al rispetto della soglia regionale e provinciale ai sensi dell’art. 5 comma 4 della LR 31/2014</w:t>
            </w:r>
            <w:r w:rsidR="001B6603" w:rsidRPr="001B6603">
              <w:rPr>
                <w:rFonts w:cstheme="minorHAnsi"/>
                <w:spacing w:val="-4"/>
              </w:rPr>
              <w:t>.</w:t>
            </w:r>
          </w:p>
        </w:tc>
        <w:tc>
          <w:tcPr>
            <w:tcW w:w="1200" w:type="dxa"/>
          </w:tcPr>
          <w:p w14:paraId="62312115" w14:textId="503F1B6C" w:rsidR="00DD5B07" w:rsidRPr="00DD5B07" w:rsidRDefault="001B6603" w:rsidP="00DD5B07">
            <w:pPr>
              <w:rPr>
                <w:rFonts w:cstheme="minorHAnsi"/>
                <w:bCs/>
              </w:rPr>
            </w:pPr>
            <w:r>
              <w:rPr>
                <w:rFonts w:cstheme="minorHAnsi"/>
                <w:bCs/>
              </w:rPr>
              <w:t>Redolfi</w:t>
            </w:r>
          </w:p>
        </w:tc>
        <w:tc>
          <w:tcPr>
            <w:tcW w:w="1408" w:type="dxa"/>
          </w:tcPr>
          <w:p w14:paraId="11CF084F" w14:textId="02254FAE" w:rsidR="00DD5B07" w:rsidRPr="00DD5B07" w:rsidRDefault="00DD5B07" w:rsidP="00DD5B07">
            <w:pPr>
              <w:spacing w:after="120"/>
              <w:rPr>
                <w:rFonts w:cstheme="minorHAnsi"/>
                <w:bCs/>
              </w:rPr>
            </w:pPr>
          </w:p>
        </w:tc>
      </w:tr>
      <w:tr w:rsidR="00DD5B07" w:rsidRPr="00DD5B07" w14:paraId="1C111B52" w14:textId="77777777" w:rsidTr="0036150F">
        <w:tc>
          <w:tcPr>
            <w:tcW w:w="7020" w:type="dxa"/>
          </w:tcPr>
          <w:p w14:paraId="66BAB9D1" w14:textId="04155DE6" w:rsidR="00DD5B07" w:rsidRPr="001B6603" w:rsidRDefault="001B6603" w:rsidP="00DD5B07">
            <w:pPr>
              <w:spacing w:after="120"/>
              <w:rPr>
                <w:rFonts w:cstheme="minorHAnsi"/>
                <w:b/>
                <w:bCs/>
                <w:spacing w:val="-6"/>
              </w:rPr>
            </w:pPr>
            <w:r w:rsidRPr="001B6603">
              <w:rPr>
                <w:rFonts w:cstheme="minorHAnsi"/>
                <w:spacing w:val="-6"/>
              </w:rPr>
              <w:t>21. Relativamente alle modalità di stima degli obiettivi quantitativi di sviluppo complessivo dei PGT, e</w:t>
            </w:r>
            <w:r w:rsidR="00DD5B07" w:rsidRPr="001B6603">
              <w:rPr>
                <w:rFonts w:cstheme="minorHAnsi"/>
                <w:spacing w:val="-6"/>
              </w:rPr>
              <w:t>splicitare, che il PTCP assume, senza introdurre ulteriori specificazioni, le modalità di stima dei fabbisogni proposte nei Criteri dell’Integrazione PTR.</w:t>
            </w:r>
          </w:p>
        </w:tc>
        <w:tc>
          <w:tcPr>
            <w:tcW w:w="1200" w:type="dxa"/>
          </w:tcPr>
          <w:p w14:paraId="247769FC" w14:textId="5F635F81" w:rsidR="00DD5B07" w:rsidRPr="00DD5B07" w:rsidRDefault="001B6603" w:rsidP="00DD5B07">
            <w:pPr>
              <w:rPr>
                <w:rFonts w:cstheme="minorHAnsi"/>
                <w:bCs/>
              </w:rPr>
            </w:pPr>
            <w:r>
              <w:rPr>
                <w:rFonts w:cstheme="minorHAnsi"/>
                <w:bCs/>
              </w:rPr>
              <w:t>Redolfi</w:t>
            </w:r>
          </w:p>
        </w:tc>
        <w:tc>
          <w:tcPr>
            <w:tcW w:w="1408" w:type="dxa"/>
          </w:tcPr>
          <w:p w14:paraId="1429A0F9" w14:textId="65DD3F7F" w:rsidR="00DD5B07" w:rsidRPr="00DD5B07" w:rsidRDefault="00DD5B07" w:rsidP="00DD5B07">
            <w:pPr>
              <w:spacing w:after="120"/>
              <w:rPr>
                <w:rFonts w:cstheme="minorHAnsi"/>
                <w:bCs/>
              </w:rPr>
            </w:pPr>
          </w:p>
        </w:tc>
      </w:tr>
      <w:tr w:rsidR="00DD5B07" w:rsidRPr="00DD5B07" w14:paraId="52E70E75" w14:textId="77777777" w:rsidTr="0036150F">
        <w:tc>
          <w:tcPr>
            <w:tcW w:w="7020" w:type="dxa"/>
          </w:tcPr>
          <w:p w14:paraId="5751C85E" w14:textId="2B087F54" w:rsidR="00DD5B07" w:rsidRPr="00DD5B07" w:rsidRDefault="001B6603" w:rsidP="00DD5B07">
            <w:pPr>
              <w:spacing w:after="120"/>
              <w:rPr>
                <w:rFonts w:cstheme="minorHAnsi"/>
                <w:b/>
                <w:bCs/>
              </w:rPr>
            </w:pPr>
            <w:r>
              <w:rPr>
                <w:rFonts w:cstheme="minorHAnsi"/>
              </w:rPr>
              <w:t xml:space="preserve">22. </w:t>
            </w:r>
            <w:r w:rsidR="00DD5B07" w:rsidRPr="00DD5B07">
              <w:rPr>
                <w:rFonts w:cstheme="minorHAnsi"/>
              </w:rPr>
              <w:t xml:space="preserve">Art. 46 IN - </w:t>
            </w:r>
            <w:r>
              <w:rPr>
                <w:rFonts w:cstheme="minorHAnsi"/>
              </w:rPr>
              <w:t>R</w:t>
            </w:r>
            <w:r w:rsidR="00DD5B07" w:rsidRPr="001B6603">
              <w:rPr>
                <w:rFonts w:cstheme="minorHAnsi"/>
                <w:bCs/>
              </w:rPr>
              <w:t xml:space="preserve">ichiamare </w:t>
            </w:r>
            <w:r>
              <w:rPr>
                <w:rFonts w:cstheme="minorHAnsi"/>
                <w:bCs/>
              </w:rPr>
              <w:t>i</w:t>
            </w:r>
            <w:r w:rsidR="00DD5B07" w:rsidRPr="001B6603">
              <w:rPr>
                <w:rFonts w:cstheme="minorHAnsi"/>
                <w:bCs/>
              </w:rPr>
              <w:t xml:space="preserve"> criteri di qualità </w:t>
            </w:r>
            <w:r w:rsidR="00DD5B07" w:rsidRPr="001B6603">
              <w:rPr>
                <w:rFonts w:cstheme="minorHAnsi"/>
              </w:rPr>
              <w:t>per l’applicazione</w:t>
            </w:r>
            <w:r w:rsidR="00DD5B07" w:rsidRPr="00DD5B07">
              <w:rPr>
                <w:rFonts w:cstheme="minorHAnsi"/>
              </w:rPr>
              <w:t xml:space="preserve"> delle soglie di riduzione del consumo di suolo (rif. capitolo 3 dei Criteri dell’Integrazione PTR), specificando eventualmente per quali aspetti sono da considerarsi integrati con quanto già disposto nella normativa del PTCP vigente</w:t>
            </w:r>
            <w:r>
              <w:rPr>
                <w:rFonts w:cstheme="minorHAnsi"/>
              </w:rPr>
              <w:t>.</w:t>
            </w:r>
          </w:p>
        </w:tc>
        <w:tc>
          <w:tcPr>
            <w:tcW w:w="1200" w:type="dxa"/>
          </w:tcPr>
          <w:p w14:paraId="7780A519" w14:textId="34918A63" w:rsidR="00DD5B07" w:rsidRPr="00DD5B07" w:rsidRDefault="001B6603" w:rsidP="00DD5B07">
            <w:pPr>
              <w:rPr>
                <w:rFonts w:cstheme="minorHAnsi"/>
                <w:bCs/>
              </w:rPr>
            </w:pPr>
            <w:r>
              <w:rPr>
                <w:rFonts w:cstheme="minorHAnsi"/>
                <w:bCs/>
              </w:rPr>
              <w:t>Redolfi</w:t>
            </w:r>
          </w:p>
        </w:tc>
        <w:tc>
          <w:tcPr>
            <w:tcW w:w="1408" w:type="dxa"/>
          </w:tcPr>
          <w:p w14:paraId="1D4A9FF4" w14:textId="084ECF7E" w:rsidR="00DD5B07" w:rsidRPr="00DD5B07" w:rsidRDefault="00DD5B07" w:rsidP="00DD5B07">
            <w:pPr>
              <w:spacing w:after="120"/>
              <w:rPr>
                <w:rFonts w:cstheme="minorHAnsi"/>
                <w:bCs/>
              </w:rPr>
            </w:pPr>
          </w:p>
        </w:tc>
      </w:tr>
      <w:tr w:rsidR="00DD5B07" w:rsidRPr="00DD5B07" w14:paraId="0F20A25B" w14:textId="77777777" w:rsidTr="0036150F">
        <w:tc>
          <w:tcPr>
            <w:tcW w:w="7020" w:type="dxa"/>
          </w:tcPr>
          <w:p w14:paraId="05228EE6" w14:textId="55EC553C" w:rsidR="00DD5B07" w:rsidRPr="00DD5B07" w:rsidRDefault="001B6603" w:rsidP="00DD5B07">
            <w:pPr>
              <w:spacing w:after="120"/>
              <w:rPr>
                <w:rFonts w:cstheme="minorHAnsi"/>
                <w:b/>
                <w:bCs/>
              </w:rPr>
            </w:pPr>
            <w:r>
              <w:rPr>
                <w:rFonts w:cstheme="minorHAnsi"/>
              </w:rPr>
              <w:t>23. R</w:t>
            </w:r>
            <w:r w:rsidR="00DD5B07" w:rsidRPr="00DD5B07">
              <w:rPr>
                <w:rFonts w:cstheme="minorHAnsi"/>
              </w:rPr>
              <w:t xml:space="preserve">ichiamare nel PTCP quanto disposto nei criteri regionali in merito alle varianti di cui all’art. 97 della LR </w:t>
            </w:r>
            <w:r w:rsidR="00DD5B07" w:rsidRPr="001B6603">
              <w:rPr>
                <w:rFonts w:cstheme="minorHAnsi"/>
              </w:rPr>
              <w:t xml:space="preserve">12/2005 </w:t>
            </w:r>
            <w:r w:rsidR="00DD5B07" w:rsidRPr="001B6603">
              <w:rPr>
                <w:rFonts w:cstheme="minorHAnsi"/>
                <w:bCs/>
              </w:rPr>
              <w:t>(SUAP) per insediamenti di logistica</w:t>
            </w:r>
            <w:r w:rsidR="00DD5B07" w:rsidRPr="00DD5B07">
              <w:rPr>
                <w:rFonts w:cstheme="minorHAnsi"/>
                <w:b/>
                <w:bCs/>
              </w:rPr>
              <w:t xml:space="preserve"> </w:t>
            </w:r>
            <w:r w:rsidR="00DD5B07" w:rsidRPr="00DD5B07">
              <w:rPr>
                <w:rFonts w:cstheme="minorHAnsi"/>
              </w:rPr>
              <w:t xml:space="preserve">(rif. capitolo 2.2.3 “Recepimento delle soglie di riduzione del consumo di suolo a livello comunale” dei Criteri dell’Integrazione PTR): </w:t>
            </w:r>
            <w:r w:rsidR="00DD5B07" w:rsidRPr="00DD5B07">
              <w:rPr>
                <w:rFonts w:cstheme="minorHAnsi"/>
                <w:i/>
                <w:iCs/>
              </w:rPr>
              <w:t xml:space="preserve">“Le </w:t>
            </w:r>
            <w:r w:rsidR="00DD5B07" w:rsidRPr="00DD5B07">
              <w:rPr>
                <w:rFonts w:cstheme="minorHAnsi"/>
                <w:i/>
                <w:iCs/>
              </w:rPr>
              <w:lastRenderedPageBreak/>
              <w:t xml:space="preserve">varianti di cui all’art. 97 della LR 12/2005 (Progetti presentati allo Sportello Unico per le Attività Produttive comportanti variante al PGT), a esclusione di quelle per attività di logistica o autotrasporto incidenti su una superficie agricola o naturale di superficie territoriale superiore a 5.000 mq, sono da considerare quali componenti del fabbisogno di “altre funzioni urbane” e sono comunque ammissibili ancorché comportanti consumo di suolo.”. </w:t>
            </w:r>
            <w:r w:rsidR="00DD5B07" w:rsidRPr="00DD5B07">
              <w:rPr>
                <w:rFonts w:cstheme="minorHAnsi"/>
              </w:rPr>
              <w:t>A fronte di tale specificazione, è altresì opportuno richiamare i disposti dell’art. 5 comma 4 della LR 31/2014</w:t>
            </w:r>
            <w:r>
              <w:rPr>
                <w:rFonts w:cstheme="minorHAnsi"/>
              </w:rPr>
              <w:t>.</w:t>
            </w:r>
          </w:p>
        </w:tc>
        <w:tc>
          <w:tcPr>
            <w:tcW w:w="1200" w:type="dxa"/>
          </w:tcPr>
          <w:p w14:paraId="19D0D2B7" w14:textId="4E76D8EC" w:rsidR="00DD5B07" w:rsidRPr="00DD5B07" w:rsidRDefault="001B6603" w:rsidP="00DD5B07">
            <w:pPr>
              <w:rPr>
                <w:rFonts w:cstheme="minorHAnsi"/>
                <w:bCs/>
              </w:rPr>
            </w:pPr>
            <w:r>
              <w:rPr>
                <w:rFonts w:cstheme="minorHAnsi"/>
                <w:bCs/>
              </w:rPr>
              <w:lastRenderedPageBreak/>
              <w:t>Redolfi</w:t>
            </w:r>
          </w:p>
        </w:tc>
        <w:tc>
          <w:tcPr>
            <w:tcW w:w="1408" w:type="dxa"/>
          </w:tcPr>
          <w:p w14:paraId="7B30830E" w14:textId="49222AC9" w:rsidR="00DD5B07" w:rsidRPr="00DD5B07" w:rsidRDefault="00DD5B07" w:rsidP="00DD5B07">
            <w:pPr>
              <w:spacing w:after="120"/>
              <w:rPr>
                <w:rFonts w:cstheme="minorHAnsi"/>
                <w:bCs/>
              </w:rPr>
            </w:pPr>
          </w:p>
        </w:tc>
      </w:tr>
      <w:tr w:rsidR="00DD5B07" w:rsidRPr="00DD5B07" w14:paraId="71A1D6AE" w14:textId="77777777" w:rsidTr="0036150F">
        <w:tc>
          <w:tcPr>
            <w:tcW w:w="7020" w:type="dxa"/>
          </w:tcPr>
          <w:p w14:paraId="2F0054C5" w14:textId="77777777" w:rsidR="0073682B" w:rsidRDefault="001B6603" w:rsidP="0073682B">
            <w:pPr>
              <w:rPr>
                <w:rFonts w:cstheme="minorHAnsi"/>
              </w:rPr>
            </w:pPr>
            <w:r>
              <w:rPr>
                <w:rFonts w:cstheme="minorHAnsi"/>
              </w:rPr>
              <w:t xml:space="preserve">24. </w:t>
            </w:r>
            <w:r w:rsidR="00DD5B07" w:rsidRPr="00DD5B07">
              <w:rPr>
                <w:rFonts w:cstheme="minorHAnsi"/>
              </w:rPr>
              <w:t xml:space="preserve">Allegato tecnico 3 </w:t>
            </w:r>
            <w:r w:rsidR="0073682B">
              <w:rPr>
                <w:rFonts w:cstheme="minorHAnsi"/>
              </w:rPr>
              <w:t>–</w:t>
            </w:r>
            <w:r w:rsidR="00DD5B07" w:rsidRPr="00DD5B07">
              <w:rPr>
                <w:rFonts w:cstheme="minorHAnsi"/>
              </w:rPr>
              <w:t xml:space="preserve"> </w:t>
            </w:r>
            <w:r w:rsidR="0073682B">
              <w:rPr>
                <w:rFonts w:cstheme="minorHAnsi"/>
              </w:rPr>
              <w:t xml:space="preserve">correggere i riferimenti ad alcuni indicatori e sostituire: </w:t>
            </w:r>
          </w:p>
          <w:p w14:paraId="1411E7C4" w14:textId="77777777" w:rsidR="0073682B" w:rsidRDefault="0073682B" w:rsidP="0073682B">
            <w:pPr>
              <w:rPr>
                <w:rFonts w:cstheme="minorHAnsi"/>
              </w:rPr>
            </w:pPr>
            <w:r>
              <w:rPr>
                <w:rFonts w:cstheme="minorHAnsi"/>
              </w:rPr>
              <w:t>-</w:t>
            </w:r>
            <w:r w:rsidR="00DD5B07" w:rsidRPr="00DD5B07">
              <w:rPr>
                <w:rFonts w:cstheme="minorHAnsi"/>
              </w:rPr>
              <w:t xml:space="preserve"> “Superficie territoriale utile” con “Superficie del Suolo utile netto”;  </w:t>
            </w:r>
          </w:p>
          <w:p w14:paraId="04DC0B07" w14:textId="77777777" w:rsidR="0073682B" w:rsidRDefault="0073682B" w:rsidP="0073682B">
            <w:pPr>
              <w:rPr>
                <w:rFonts w:cstheme="minorHAnsi"/>
              </w:rPr>
            </w:pPr>
            <w:r>
              <w:rPr>
                <w:rFonts w:cstheme="minorHAnsi"/>
              </w:rPr>
              <w:t xml:space="preserve">- </w:t>
            </w:r>
            <w:r w:rsidR="00DD5B07" w:rsidRPr="00DD5B07">
              <w:rPr>
                <w:rFonts w:cstheme="minorHAnsi"/>
              </w:rPr>
              <w:t xml:space="preserve">“Superficie agricola e naturale” con “Superficie agricola o naturale”;  </w:t>
            </w:r>
          </w:p>
          <w:p w14:paraId="720130AE" w14:textId="71874A79" w:rsidR="00DD5B07" w:rsidRPr="00DD5B07" w:rsidRDefault="0073682B" w:rsidP="0073682B">
            <w:pPr>
              <w:spacing w:after="120"/>
              <w:rPr>
                <w:rFonts w:cstheme="minorHAnsi"/>
                <w:b/>
                <w:bCs/>
              </w:rPr>
            </w:pPr>
            <w:r>
              <w:rPr>
                <w:rFonts w:cstheme="minorHAnsi"/>
              </w:rPr>
              <w:t xml:space="preserve">- </w:t>
            </w:r>
            <w:r w:rsidR="00DD5B07" w:rsidRPr="00DD5B07">
              <w:rPr>
                <w:rFonts w:cstheme="minorHAnsi"/>
              </w:rPr>
              <w:t>“Superficie rigenerabile” con “Superficie delle Aree della rigenerazione”</w:t>
            </w:r>
            <w:r w:rsidR="001B6603">
              <w:rPr>
                <w:rFonts w:cstheme="minorHAnsi"/>
              </w:rPr>
              <w:t>.</w:t>
            </w:r>
          </w:p>
        </w:tc>
        <w:tc>
          <w:tcPr>
            <w:tcW w:w="1200" w:type="dxa"/>
          </w:tcPr>
          <w:p w14:paraId="32B5892F" w14:textId="406CB139" w:rsidR="00DD5B07" w:rsidRPr="00DD5B07" w:rsidRDefault="001B6603" w:rsidP="00DD5B07">
            <w:pPr>
              <w:rPr>
                <w:rFonts w:cstheme="minorHAnsi"/>
                <w:bCs/>
              </w:rPr>
            </w:pPr>
            <w:r>
              <w:rPr>
                <w:rFonts w:cstheme="minorHAnsi"/>
                <w:bCs/>
              </w:rPr>
              <w:t>Redolfi</w:t>
            </w:r>
          </w:p>
        </w:tc>
        <w:tc>
          <w:tcPr>
            <w:tcW w:w="1408" w:type="dxa"/>
          </w:tcPr>
          <w:p w14:paraId="795CA138" w14:textId="58267C4C" w:rsidR="00DD5B07" w:rsidRPr="00DD5B07" w:rsidRDefault="00DD5B07" w:rsidP="00DD5B07">
            <w:pPr>
              <w:spacing w:after="120"/>
              <w:rPr>
                <w:rFonts w:cstheme="minorHAnsi"/>
                <w:bCs/>
              </w:rPr>
            </w:pPr>
          </w:p>
        </w:tc>
      </w:tr>
      <w:tr w:rsidR="00DD5B07" w:rsidRPr="00DD5B07" w14:paraId="5281D3C9" w14:textId="77777777" w:rsidTr="0036150F">
        <w:tc>
          <w:tcPr>
            <w:tcW w:w="7020" w:type="dxa"/>
          </w:tcPr>
          <w:p w14:paraId="68B5BC6E" w14:textId="242B2E3F" w:rsidR="00DD5B07" w:rsidRPr="00DD5B07" w:rsidRDefault="001B6603" w:rsidP="00DD5B07">
            <w:pPr>
              <w:spacing w:after="120"/>
              <w:rPr>
                <w:rFonts w:cstheme="minorHAnsi"/>
                <w:b/>
                <w:bCs/>
              </w:rPr>
            </w:pPr>
            <w:r>
              <w:rPr>
                <w:rFonts w:cstheme="minorHAnsi"/>
              </w:rPr>
              <w:t>25. C</w:t>
            </w:r>
            <w:r w:rsidR="00DD5B07" w:rsidRPr="00DD5B07">
              <w:rPr>
                <w:rFonts w:cstheme="minorHAnsi"/>
              </w:rPr>
              <w:t>on riferimento alle specifiche per la Carta del consumo di suolo del PGT, si chiede di precisare che, in fase di adeguamento dei PGT, gli indicatori devono essere forniti dai Comuni sia alla data di adeguamento del PGT, sia alla data del 02/12/2014 (data di entrata in vigore della LR 31/2014)</w:t>
            </w:r>
            <w:r>
              <w:rPr>
                <w:rFonts w:cstheme="minorHAnsi"/>
              </w:rPr>
              <w:t>.</w:t>
            </w:r>
          </w:p>
        </w:tc>
        <w:tc>
          <w:tcPr>
            <w:tcW w:w="1200" w:type="dxa"/>
          </w:tcPr>
          <w:p w14:paraId="1F0AC578" w14:textId="2424D2B8" w:rsidR="00DD5B07" w:rsidRPr="00DD5B07" w:rsidRDefault="001B6603" w:rsidP="00DD5B07">
            <w:pPr>
              <w:rPr>
                <w:rFonts w:cstheme="minorHAnsi"/>
                <w:bCs/>
              </w:rPr>
            </w:pPr>
            <w:r>
              <w:rPr>
                <w:rFonts w:cstheme="minorHAnsi"/>
                <w:bCs/>
              </w:rPr>
              <w:t>Redolfi</w:t>
            </w:r>
          </w:p>
        </w:tc>
        <w:tc>
          <w:tcPr>
            <w:tcW w:w="1408" w:type="dxa"/>
          </w:tcPr>
          <w:p w14:paraId="7B464995" w14:textId="2FB212F8" w:rsidR="00DD5B07" w:rsidRPr="00DD5B07" w:rsidRDefault="00DD5B07" w:rsidP="00DD5B07">
            <w:pPr>
              <w:spacing w:after="120"/>
              <w:rPr>
                <w:rFonts w:cstheme="minorHAnsi"/>
                <w:bCs/>
              </w:rPr>
            </w:pPr>
          </w:p>
        </w:tc>
      </w:tr>
      <w:tr w:rsidR="00DD5B07" w:rsidRPr="00DD5B07" w14:paraId="20B5FEFE" w14:textId="77777777" w:rsidTr="0036150F">
        <w:tc>
          <w:tcPr>
            <w:tcW w:w="7020" w:type="dxa"/>
          </w:tcPr>
          <w:p w14:paraId="59A6AD32" w14:textId="4BE962EA" w:rsidR="00DD5B07" w:rsidRPr="001B6603" w:rsidRDefault="001B6603" w:rsidP="0073682B">
            <w:pPr>
              <w:keepNext/>
              <w:spacing w:after="120"/>
              <w:rPr>
                <w:rFonts w:cstheme="minorHAnsi"/>
              </w:rPr>
            </w:pPr>
            <w:r w:rsidRPr="001B6603">
              <w:rPr>
                <w:rFonts w:cstheme="minorHAnsi"/>
              </w:rPr>
              <w:t xml:space="preserve">26. </w:t>
            </w:r>
            <w:r w:rsidR="0073682B">
              <w:rPr>
                <w:rFonts w:cstheme="minorHAnsi"/>
              </w:rPr>
              <w:t>art. 47 IN e Relazione Illustrativa - S</w:t>
            </w:r>
            <w:r w:rsidRPr="001B6603">
              <w:rPr>
                <w:rFonts w:cstheme="minorHAnsi"/>
              </w:rPr>
              <w:t xml:space="preserve">i suggerisce di modificare i richiami </w:t>
            </w:r>
            <w:r w:rsidR="0073682B">
              <w:rPr>
                <w:rFonts w:cstheme="minorHAnsi"/>
              </w:rPr>
              <w:t>ai criteri de</w:t>
            </w:r>
            <w:r w:rsidRPr="001B6603">
              <w:rPr>
                <w:rFonts w:cstheme="minorHAnsi"/>
              </w:rPr>
              <w:t xml:space="preserve">ll’Integrazione PTR inseriti negli elaborati della variante del PTCP, eliminando i riferimenti agli specifici capitoli/paragrafi e sostituendoli con i riferimenti alla titolazione degli stessi, ovvero alle specifiche tematiche sviluppate </w:t>
            </w:r>
            <w:r w:rsidR="0073682B">
              <w:rPr>
                <w:rFonts w:cstheme="minorHAnsi"/>
              </w:rPr>
              <w:t xml:space="preserve">nel </w:t>
            </w:r>
            <w:r w:rsidRPr="001B6603">
              <w:rPr>
                <w:rFonts w:cstheme="minorHAnsi"/>
              </w:rPr>
              <w:t>PTR: definizioni; criteri per il recepimento delle soglie di riduzione del consumo di suolo a livello comunale; criteri per la stima dei fabbisogni; criteri di qualità per l’applicazione delle soglie di riduzione del consumo di suolo; criteri per la redazione della carta del consumo di suolo del PGT; criteri per la rigenerazione territoriale e urbana; criteri per il monitoraggio del consumo di suolo.</w:t>
            </w:r>
          </w:p>
        </w:tc>
        <w:tc>
          <w:tcPr>
            <w:tcW w:w="1200" w:type="dxa"/>
          </w:tcPr>
          <w:p w14:paraId="6A4F3592" w14:textId="1E2B6788" w:rsidR="00DD5B07" w:rsidRPr="00DD5B07" w:rsidRDefault="0073682B" w:rsidP="0073682B">
            <w:pPr>
              <w:keepNext/>
              <w:rPr>
                <w:rFonts w:cstheme="minorHAnsi"/>
                <w:bCs/>
              </w:rPr>
            </w:pPr>
            <w:r>
              <w:rPr>
                <w:rFonts w:cstheme="minorHAnsi"/>
                <w:bCs/>
              </w:rPr>
              <w:t>Redolfi</w:t>
            </w:r>
          </w:p>
        </w:tc>
        <w:tc>
          <w:tcPr>
            <w:tcW w:w="1408" w:type="dxa"/>
          </w:tcPr>
          <w:p w14:paraId="7BC71D25" w14:textId="77777777" w:rsidR="00DD5B07" w:rsidRPr="00DD5B07" w:rsidRDefault="00DD5B07" w:rsidP="0073682B">
            <w:pPr>
              <w:keepNext/>
              <w:spacing w:after="120"/>
              <w:rPr>
                <w:rFonts w:cstheme="minorHAnsi"/>
                <w:bCs/>
              </w:rPr>
            </w:pPr>
          </w:p>
        </w:tc>
      </w:tr>
      <w:tr w:rsidR="00AC5DFD" w:rsidRPr="00571DA5" w14:paraId="0A44E66B" w14:textId="77777777" w:rsidTr="0036150F">
        <w:tc>
          <w:tcPr>
            <w:tcW w:w="7020" w:type="dxa"/>
          </w:tcPr>
          <w:p w14:paraId="135CBA3C" w14:textId="5C651A05" w:rsidR="00AC5DFD" w:rsidRPr="00571DA5" w:rsidRDefault="00AC5DFD" w:rsidP="00571DA5">
            <w:pPr>
              <w:spacing w:before="60" w:after="120"/>
              <w:rPr>
                <w:i/>
                <w:iCs/>
                <w:u w:val="single"/>
              </w:rPr>
            </w:pPr>
            <w:r w:rsidRPr="00571DA5">
              <w:rPr>
                <w:i/>
                <w:iCs/>
                <w:u w:val="single"/>
              </w:rPr>
              <w:t>Rigenerazione Urbana e Territoriale</w:t>
            </w:r>
          </w:p>
        </w:tc>
        <w:tc>
          <w:tcPr>
            <w:tcW w:w="1200" w:type="dxa"/>
          </w:tcPr>
          <w:p w14:paraId="6761490A" w14:textId="77777777" w:rsidR="00AC5DFD" w:rsidRPr="00571DA5" w:rsidRDefault="00AC5DFD" w:rsidP="00571DA5">
            <w:pPr>
              <w:spacing w:before="60" w:after="120"/>
              <w:rPr>
                <w:i/>
                <w:iCs/>
                <w:u w:val="single"/>
              </w:rPr>
            </w:pPr>
          </w:p>
        </w:tc>
        <w:tc>
          <w:tcPr>
            <w:tcW w:w="1408" w:type="dxa"/>
          </w:tcPr>
          <w:p w14:paraId="1A3BFC25" w14:textId="77777777" w:rsidR="00AC5DFD" w:rsidRPr="00571DA5" w:rsidRDefault="00AC5DFD" w:rsidP="00571DA5">
            <w:pPr>
              <w:spacing w:before="60" w:after="120"/>
              <w:rPr>
                <w:i/>
                <w:iCs/>
                <w:u w:val="single"/>
              </w:rPr>
            </w:pPr>
          </w:p>
        </w:tc>
      </w:tr>
      <w:tr w:rsidR="0073682B" w:rsidRPr="00DD5B07" w14:paraId="016F16AD" w14:textId="77777777" w:rsidTr="0036150F">
        <w:tc>
          <w:tcPr>
            <w:tcW w:w="7020" w:type="dxa"/>
          </w:tcPr>
          <w:p w14:paraId="01041524" w14:textId="7CC56990" w:rsidR="0073682B" w:rsidRPr="00DD5B07" w:rsidRDefault="0073682B" w:rsidP="0073682B">
            <w:pPr>
              <w:spacing w:after="120"/>
              <w:rPr>
                <w:rFonts w:cstheme="minorHAnsi"/>
                <w:b/>
                <w:bCs/>
              </w:rPr>
            </w:pPr>
            <w:r>
              <w:t xml:space="preserve">27. </w:t>
            </w:r>
            <w:r w:rsidR="00AC5DFD">
              <w:t>C</w:t>
            </w:r>
            <w:r w:rsidRPr="00CD7017">
              <w:t xml:space="preserve">ondividere </w:t>
            </w:r>
            <w:r w:rsidR="00AC5DFD">
              <w:t xml:space="preserve">con la Regione </w:t>
            </w:r>
            <w:r w:rsidRPr="00CD7017">
              <w:t>gli esiti delle verifiche comunali sui dati provinciali anche nell’ambito del progetto regionale di implementazione del sistema di conoscenza e monitoraggio della rigenerazione, nel quale vengono altresì riportati gli ambiti che i Comuni individuano con DCC ai sensi della LR 18/2019 entro il 31/12/2021.</w:t>
            </w:r>
          </w:p>
        </w:tc>
        <w:tc>
          <w:tcPr>
            <w:tcW w:w="1200" w:type="dxa"/>
          </w:tcPr>
          <w:p w14:paraId="14ABC8C4" w14:textId="6F18473C" w:rsidR="0073682B" w:rsidRPr="00DD5B07" w:rsidRDefault="00DD38FF" w:rsidP="0073682B">
            <w:pPr>
              <w:rPr>
                <w:rFonts w:cstheme="minorHAnsi"/>
                <w:bCs/>
              </w:rPr>
            </w:pPr>
            <w:r>
              <w:rPr>
                <w:rFonts w:cstheme="minorHAnsi"/>
                <w:bCs/>
              </w:rPr>
              <w:t>Redolfi</w:t>
            </w:r>
          </w:p>
        </w:tc>
        <w:tc>
          <w:tcPr>
            <w:tcW w:w="1408" w:type="dxa"/>
          </w:tcPr>
          <w:p w14:paraId="1D41D402" w14:textId="77777777" w:rsidR="0073682B" w:rsidRPr="00DD5B07" w:rsidRDefault="0073682B" w:rsidP="0073682B">
            <w:pPr>
              <w:spacing w:after="120"/>
              <w:rPr>
                <w:rFonts w:cstheme="minorHAnsi"/>
                <w:bCs/>
              </w:rPr>
            </w:pPr>
          </w:p>
        </w:tc>
      </w:tr>
      <w:tr w:rsidR="0073682B" w:rsidRPr="00DD5B07" w14:paraId="5AC045C1" w14:textId="77777777" w:rsidTr="0036150F">
        <w:tc>
          <w:tcPr>
            <w:tcW w:w="7020" w:type="dxa"/>
          </w:tcPr>
          <w:p w14:paraId="1DC5A0B0" w14:textId="6E0A23A0" w:rsidR="0073682B" w:rsidRPr="00DD5B07" w:rsidRDefault="008234B9" w:rsidP="0073682B">
            <w:pPr>
              <w:spacing w:after="120"/>
              <w:rPr>
                <w:rFonts w:cstheme="minorHAnsi"/>
                <w:b/>
                <w:bCs/>
              </w:rPr>
            </w:pPr>
            <w:r>
              <w:t xml:space="preserve">28. </w:t>
            </w:r>
            <w:r w:rsidR="0073682B" w:rsidRPr="00CD7017">
              <w:t xml:space="preserve">Art. 14 IN </w:t>
            </w:r>
            <w:r w:rsidR="00DD38FF">
              <w:t>-</w:t>
            </w:r>
            <w:r w:rsidR="0073682B" w:rsidRPr="00CD7017">
              <w:t xml:space="preserve"> </w:t>
            </w:r>
            <w:r>
              <w:t>Con riferimento alla valutazione di compatibilità dei PGT</w:t>
            </w:r>
            <w:r w:rsidR="0073682B" w:rsidRPr="00CD7017">
              <w:rPr>
                <w:sz w:val="23"/>
                <w:szCs w:val="23"/>
              </w:rPr>
              <w:t xml:space="preserve">, </w:t>
            </w:r>
            <w:r>
              <w:rPr>
                <w:sz w:val="23"/>
                <w:szCs w:val="23"/>
              </w:rPr>
              <w:t xml:space="preserve">introdurre </w:t>
            </w:r>
            <w:r w:rsidR="0073682B" w:rsidRPr="00CD7017">
              <w:rPr>
                <w:sz w:val="23"/>
                <w:szCs w:val="23"/>
              </w:rPr>
              <w:t xml:space="preserve">uno specifico riferimento </w:t>
            </w:r>
            <w:r>
              <w:rPr>
                <w:sz w:val="23"/>
                <w:szCs w:val="23"/>
              </w:rPr>
              <w:t>a</w:t>
            </w:r>
            <w:r w:rsidRPr="00CD7017">
              <w:rPr>
                <w:sz w:val="23"/>
                <w:szCs w:val="23"/>
              </w:rPr>
              <w:t xml:space="preserve">ll’art. 5 comma </w:t>
            </w:r>
            <w:r w:rsidR="00DD38FF">
              <w:rPr>
                <w:sz w:val="23"/>
                <w:szCs w:val="23"/>
              </w:rPr>
              <w:t>4</w:t>
            </w:r>
            <w:r w:rsidRPr="00CD7017">
              <w:rPr>
                <w:sz w:val="23"/>
                <w:szCs w:val="23"/>
              </w:rPr>
              <w:t xml:space="preserve"> della LR 31/2014 </w:t>
            </w:r>
            <w:r>
              <w:rPr>
                <w:sz w:val="23"/>
                <w:szCs w:val="23"/>
              </w:rPr>
              <w:t xml:space="preserve">in merito </w:t>
            </w:r>
            <w:r w:rsidR="0073682B" w:rsidRPr="00CD7017">
              <w:rPr>
                <w:sz w:val="23"/>
                <w:szCs w:val="23"/>
              </w:rPr>
              <w:t xml:space="preserve">alla verifica provinciale </w:t>
            </w:r>
            <w:r w:rsidR="00DD38FF">
              <w:rPr>
                <w:sz w:val="23"/>
                <w:szCs w:val="23"/>
              </w:rPr>
              <w:t xml:space="preserve">di </w:t>
            </w:r>
            <w:r w:rsidRPr="008234B9">
              <w:rPr>
                <w:sz w:val="23"/>
                <w:szCs w:val="23"/>
              </w:rPr>
              <w:t>corretto recepimento dei criteri e degli indirizzi del PTR</w:t>
            </w:r>
            <w:r w:rsidR="00DD38FF">
              <w:rPr>
                <w:sz w:val="23"/>
                <w:szCs w:val="23"/>
              </w:rPr>
              <w:t xml:space="preserve">, in particolare </w:t>
            </w:r>
            <w:r w:rsidR="0073682B" w:rsidRPr="00CD7017">
              <w:rPr>
                <w:sz w:val="23"/>
                <w:szCs w:val="23"/>
              </w:rPr>
              <w:t>dei criteri dell’Integrazione PTR per la riduzione del consumo di suolo</w:t>
            </w:r>
          </w:p>
        </w:tc>
        <w:tc>
          <w:tcPr>
            <w:tcW w:w="1200" w:type="dxa"/>
          </w:tcPr>
          <w:p w14:paraId="41B233C0" w14:textId="1171B825" w:rsidR="0073682B" w:rsidRPr="00DD5B07" w:rsidRDefault="00DD38FF" w:rsidP="0073682B">
            <w:pPr>
              <w:rPr>
                <w:rFonts w:cstheme="minorHAnsi"/>
                <w:bCs/>
              </w:rPr>
            </w:pPr>
            <w:r>
              <w:rPr>
                <w:rFonts w:cstheme="minorHAnsi"/>
                <w:bCs/>
              </w:rPr>
              <w:t>Redolfi</w:t>
            </w:r>
          </w:p>
        </w:tc>
        <w:tc>
          <w:tcPr>
            <w:tcW w:w="1408" w:type="dxa"/>
          </w:tcPr>
          <w:p w14:paraId="6C783619" w14:textId="77777777" w:rsidR="0073682B" w:rsidRPr="00DD5B07" w:rsidRDefault="0073682B" w:rsidP="0073682B">
            <w:pPr>
              <w:spacing w:after="120"/>
              <w:rPr>
                <w:rFonts w:cstheme="minorHAnsi"/>
                <w:bCs/>
              </w:rPr>
            </w:pPr>
          </w:p>
        </w:tc>
      </w:tr>
      <w:tr w:rsidR="00DD5B07" w:rsidRPr="00571DA5" w14:paraId="248CFCA3" w14:textId="77777777" w:rsidTr="0036150F">
        <w:tc>
          <w:tcPr>
            <w:tcW w:w="7020" w:type="dxa"/>
          </w:tcPr>
          <w:p w14:paraId="1D40F3E1" w14:textId="144586F8" w:rsidR="00DD5B07" w:rsidRPr="00571DA5" w:rsidRDefault="00DD38FF" w:rsidP="00571DA5">
            <w:pPr>
              <w:spacing w:before="60" w:after="120"/>
              <w:jc w:val="both"/>
              <w:rPr>
                <w:i/>
                <w:iCs/>
                <w:u w:val="single"/>
              </w:rPr>
            </w:pPr>
            <w:r w:rsidRPr="00571DA5">
              <w:rPr>
                <w:i/>
                <w:iCs/>
                <w:u w:val="single"/>
              </w:rPr>
              <w:t>Valutazione Paesaggistica</w:t>
            </w:r>
          </w:p>
        </w:tc>
        <w:tc>
          <w:tcPr>
            <w:tcW w:w="1200" w:type="dxa"/>
          </w:tcPr>
          <w:p w14:paraId="5FD8AE64" w14:textId="77777777" w:rsidR="00DD5B07" w:rsidRPr="00571DA5" w:rsidRDefault="00DD5B07" w:rsidP="00571DA5">
            <w:pPr>
              <w:spacing w:before="120" w:after="120"/>
              <w:rPr>
                <w:rFonts w:cstheme="minorHAnsi"/>
                <w:bCs/>
              </w:rPr>
            </w:pPr>
          </w:p>
        </w:tc>
        <w:tc>
          <w:tcPr>
            <w:tcW w:w="1408" w:type="dxa"/>
          </w:tcPr>
          <w:p w14:paraId="16A72040" w14:textId="77777777" w:rsidR="00DD5B07" w:rsidRPr="00571DA5" w:rsidRDefault="00DD5B07" w:rsidP="00571DA5">
            <w:pPr>
              <w:spacing w:before="120" w:after="120"/>
              <w:rPr>
                <w:rFonts w:cstheme="minorHAnsi"/>
                <w:bCs/>
              </w:rPr>
            </w:pPr>
          </w:p>
        </w:tc>
      </w:tr>
      <w:tr w:rsidR="00571DA5" w:rsidRPr="00DD5B07" w14:paraId="7E39D7BC" w14:textId="77777777" w:rsidTr="0036150F">
        <w:tc>
          <w:tcPr>
            <w:tcW w:w="7020" w:type="dxa"/>
          </w:tcPr>
          <w:p w14:paraId="4FC4B455" w14:textId="4027770F" w:rsidR="00571DA5" w:rsidRPr="00DD5B07" w:rsidRDefault="00571DA5" w:rsidP="00571DA5">
            <w:pPr>
              <w:spacing w:after="120"/>
              <w:rPr>
                <w:rFonts w:cstheme="minorHAnsi"/>
                <w:b/>
                <w:bCs/>
              </w:rPr>
            </w:pPr>
            <w:r>
              <w:t>29) Si</w:t>
            </w:r>
            <w:r w:rsidRPr="002771D0">
              <w:t xml:space="preserve"> segnalano a titolo consultivo le </w:t>
            </w:r>
            <w:proofErr w:type="spellStart"/>
            <w:r w:rsidRPr="002771D0">
              <w:t>Tavv</w:t>
            </w:r>
            <w:proofErr w:type="spellEnd"/>
            <w:r w:rsidRPr="002771D0">
              <w:t xml:space="preserve">. PR3.1 e PR 3.2 </w:t>
            </w:r>
            <w:r>
              <w:t xml:space="preserve">del </w:t>
            </w:r>
            <w:r w:rsidRPr="002771D0">
              <w:t xml:space="preserve">Piano di Valorizzazione del Paesaggio regionale </w:t>
            </w:r>
            <w:r>
              <w:t xml:space="preserve">(PVP) </w:t>
            </w:r>
            <w:r w:rsidRPr="002771D0">
              <w:t>non ancora adottato</w:t>
            </w:r>
            <w:r>
              <w:t>,</w:t>
            </w:r>
            <w:r w:rsidRPr="002771D0">
              <w:t xml:space="preserve"> sulle quali è rappresentata l’infrastruttura verde di progetto (Rete Verde Regionale) con finalità fruitive di ricomposizione e valorizzazione del paesaggio lombardo</w:t>
            </w:r>
            <w:r>
              <w:t>.</w:t>
            </w:r>
          </w:p>
        </w:tc>
        <w:tc>
          <w:tcPr>
            <w:tcW w:w="1200" w:type="dxa"/>
          </w:tcPr>
          <w:p w14:paraId="484706C8" w14:textId="02C7C15C" w:rsidR="00571DA5" w:rsidRPr="00DD5B07" w:rsidRDefault="006A7522" w:rsidP="00571DA5">
            <w:pPr>
              <w:rPr>
                <w:rFonts w:cstheme="minorHAnsi"/>
                <w:bCs/>
              </w:rPr>
            </w:pPr>
            <w:r>
              <w:rPr>
                <w:rFonts w:cstheme="minorHAnsi"/>
                <w:bCs/>
              </w:rPr>
              <w:t>Calvano</w:t>
            </w:r>
          </w:p>
        </w:tc>
        <w:tc>
          <w:tcPr>
            <w:tcW w:w="1408" w:type="dxa"/>
          </w:tcPr>
          <w:p w14:paraId="67DC01B1" w14:textId="77777777" w:rsidR="00571DA5" w:rsidRPr="00DD5B07" w:rsidRDefault="00571DA5" w:rsidP="00571DA5">
            <w:pPr>
              <w:spacing w:after="120"/>
              <w:rPr>
                <w:rFonts w:cstheme="minorHAnsi"/>
                <w:bCs/>
              </w:rPr>
            </w:pPr>
          </w:p>
        </w:tc>
      </w:tr>
      <w:tr w:rsidR="00571DA5" w:rsidRPr="00DD5B07" w14:paraId="1E6246FA" w14:textId="77777777" w:rsidTr="0036150F">
        <w:tc>
          <w:tcPr>
            <w:tcW w:w="7020" w:type="dxa"/>
          </w:tcPr>
          <w:p w14:paraId="0C1651D8" w14:textId="1DFA7A5A" w:rsidR="00571DA5" w:rsidRPr="00DD5B07" w:rsidRDefault="00571DA5" w:rsidP="00571DA5">
            <w:pPr>
              <w:spacing w:after="120"/>
              <w:rPr>
                <w:rFonts w:cstheme="minorHAnsi"/>
                <w:b/>
                <w:bCs/>
              </w:rPr>
            </w:pPr>
            <w:r>
              <w:lastRenderedPageBreak/>
              <w:t>30) S</w:t>
            </w:r>
            <w:r w:rsidRPr="002771D0">
              <w:t xml:space="preserve">i richiamano, sempre a titolo consultivo, le schede degli Ambiti Geografici di Paesaggio (AGP) del PVP in cui viene proposta una nuova e articolata lettura del paesaggio, coerente con gli </w:t>
            </w:r>
            <w:r>
              <w:t>A</w:t>
            </w:r>
            <w:r w:rsidRPr="002771D0">
              <w:t xml:space="preserve">mbiti </w:t>
            </w:r>
            <w:r>
              <w:t>T</w:t>
            </w:r>
            <w:r w:rsidRPr="002771D0">
              <w:t xml:space="preserve">erritoriali </w:t>
            </w:r>
            <w:r>
              <w:t>O</w:t>
            </w:r>
            <w:r w:rsidRPr="002771D0">
              <w:t xml:space="preserve">mogenei (ATO) di cui alla LR 31/2014. Gli AGP sono stati elaborati a partire da un’analisi </w:t>
            </w:r>
            <w:proofErr w:type="spellStart"/>
            <w:r w:rsidRPr="002771D0">
              <w:t>geostorica</w:t>
            </w:r>
            <w:proofErr w:type="spellEnd"/>
            <w:r w:rsidRPr="002771D0">
              <w:t xml:space="preserve"> del territorio a scala sovralocale a supporto della progettazione degli enti locali. Sono descritti attraverso apposite schede che individuano gli ambiti di tutela, valorizzazione e promozione paesaggistica definendo con maggior dettaglio i caratteri dei Paesaggi di Lombardia in essi compresi, individuandone gli elementi strutturanti e gli elementi di degrado paesaggistico, nonché obiettivi e orientamenti strategici per la pianificazione locale e di settore ed indirizzi per l'attuazione della Rete Verde Regionale. Si valuti pertanto la possibilità di verificare coerenze e sinergie tra i Circondari di cui all’art.6 degli indirizzi normativi identificati dal PTCP e gli AGP individuati dalla proposta di PVP.</w:t>
            </w:r>
          </w:p>
        </w:tc>
        <w:tc>
          <w:tcPr>
            <w:tcW w:w="1200" w:type="dxa"/>
          </w:tcPr>
          <w:p w14:paraId="334CC100" w14:textId="77777777" w:rsidR="00571DA5" w:rsidRDefault="006A7522" w:rsidP="00571DA5">
            <w:pPr>
              <w:rPr>
                <w:rFonts w:cstheme="minorHAnsi"/>
                <w:bCs/>
              </w:rPr>
            </w:pPr>
            <w:r>
              <w:rPr>
                <w:rFonts w:cstheme="minorHAnsi"/>
                <w:bCs/>
              </w:rPr>
              <w:t>Redolfi</w:t>
            </w:r>
          </w:p>
          <w:p w14:paraId="4F4E7966" w14:textId="0901D028" w:rsidR="006A7522" w:rsidRPr="00DD5B07" w:rsidRDefault="006A7522" w:rsidP="00571DA5">
            <w:pPr>
              <w:rPr>
                <w:rFonts w:cstheme="minorHAnsi"/>
                <w:bCs/>
              </w:rPr>
            </w:pPr>
            <w:r>
              <w:rPr>
                <w:rFonts w:cstheme="minorHAnsi"/>
                <w:bCs/>
              </w:rPr>
              <w:t>Calvano</w:t>
            </w:r>
          </w:p>
        </w:tc>
        <w:tc>
          <w:tcPr>
            <w:tcW w:w="1408" w:type="dxa"/>
          </w:tcPr>
          <w:p w14:paraId="10942529" w14:textId="77777777" w:rsidR="00571DA5" w:rsidRPr="00DD5B07" w:rsidRDefault="00571DA5" w:rsidP="00571DA5">
            <w:pPr>
              <w:spacing w:after="120"/>
              <w:rPr>
                <w:rFonts w:cstheme="minorHAnsi"/>
                <w:bCs/>
              </w:rPr>
            </w:pPr>
          </w:p>
        </w:tc>
      </w:tr>
      <w:tr w:rsidR="00571DA5" w:rsidRPr="00DD5B07" w14:paraId="695C8272" w14:textId="77777777" w:rsidTr="0036150F">
        <w:tc>
          <w:tcPr>
            <w:tcW w:w="7020" w:type="dxa"/>
          </w:tcPr>
          <w:p w14:paraId="3B499753" w14:textId="4E361401" w:rsidR="00571DA5" w:rsidRPr="00DD5B07" w:rsidRDefault="00571DA5" w:rsidP="00571DA5">
            <w:pPr>
              <w:spacing w:after="120"/>
              <w:rPr>
                <w:rFonts w:cstheme="minorHAnsi"/>
                <w:b/>
                <w:bCs/>
              </w:rPr>
            </w:pPr>
            <w:r>
              <w:rPr>
                <w:sz w:val="23"/>
                <w:szCs w:val="23"/>
              </w:rPr>
              <w:t xml:space="preserve">31) </w:t>
            </w:r>
            <w:r w:rsidR="009D031F">
              <w:rPr>
                <w:sz w:val="23"/>
                <w:szCs w:val="23"/>
              </w:rPr>
              <w:t>I</w:t>
            </w:r>
            <w:r w:rsidRPr="002771D0">
              <w:rPr>
                <w:sz w:val="23"/>
                <w:szCs w:val="23"/>
              </w:rPr>
              <w:t>nserire tra le finalità della Rete Ecopaesistica, anche il tema dell’adattamento al cambiamento climatico, che la stessa può contribuire a mitigare, orientando le azioni progettuali di rafforzamento dei servizi ecosistemici da sviluppare alla scala locale.</w:t>
            </w:r>
          </w:p>
        </w:tc>
        <w:tc>
          <w:tcPr>
            <w:tcW w:w="1200" w:type="dxa"/>
          </w:tcPr>
          <w:p w14:paraId="113F0EF7" w14:textId="74709DD6" w:rsidR="00571DA5" w:rsidRPr="00DD5B07" w:rsidRDefault="006A7522" w:rsidP="00571DA5">
            <w:pPr>
              <w:rPr>
                <w:rFonts w:cstheme="minorHAnsi"/>
                <w:bCs/>
              </w:rPr>
            </w:pPr>
            <w:r>
              <w:rPr>
                <w:rFonts w:cstheme="minorHAnsi"/>
                <w:bCs/>
              </w:rPr>
              <w:t>Calvano</w:t>
            </w:r>
          </w:p>
        </w:tc>
        <w:tc>
          <w:tcPr>
            <w:tcW w:w="1408" w:type="dxa"/>
          </w:tcPr>
          <w:p w14:paraId="3B2DDBF8" w14:textId="77777777" w:rsidR="00571DA5" w:rsidRPr="00DD5B07" w:rsidRDefault="00571DA5" w:rsidP="00571DA5">
            <w:pPr>
              <w:spacing w:after="120"/>
              <w:rPr>
                <w:rFonts w:cstheme="minorHAnsi"/>
                <w:bCs/>
              </w:rPr>
            </w:pPr>
          </w:p>
        </w:tc>
      </w:tr>
      <w:tr w:rsidR="00571DA5" w:rsidRPr="00DD5B07" w14:paraId="6F2D57A3" w14:textId="77777777" w:rsidTr="0036150F">
        <w:tc>
          <w:tcPr>
            <w:tcW w:w="7020" w:type="dxa"/>
          </w:tcPr>
          <w:p w14:paraId="1D0548F3" w14:textId="61DC458C" w:rsidR="00571DA5" w:rsidRPr="00DD5B07" w:rsidRDefault="00571DA5" w:rsidP="00571DA5">
            <w:pPr>
              <w:spacing w:after="120"/>
              <w:rPr>
                <w:rFonts w:cstheme="minorHAnsi"/>
                <w:b/>
                <w:bCs/>
              </w:rPr>
            </w:pPr>
            <w:r>
              <w:t xml:space="preserve">32) </w:t>
            </w:r>
            <w:r w:rsidRPr="002771D0">
              <w:t xml:space="preserve">Art. 35.1 </w:t>
            </w:r>
            <w:r>
              <w:t xml:space="preserve">IN </w:t>
            </w:r>
            <w:r w:rsidRPr="002771D0">
              <w:t xml:space="preserve">- si segnala la necessità di meglio specificare il ruolo della Provincia nel dare attuazione alla Rete ecopaesistica laddove alla lett. C), si evidenzia che “la Provincia partecipa direttamente alla costruzione della Rete ecopaesistica attraverso: l’esercizio delle funzioni di controllo delle escavazioni per i comuni convenzionati”.  </w:t>
            </w:r>
            <w:r w:rsidRPr="002771D0">
              <w:rPr>
                <w:i/>
                <w:highlight w:val="yellow"/>
              </w:rPr>
              <w:t>Sarebbe opportuno delineare una strategia di livello provinciale in grado di far emergere maggiormente gli elementi paesaggistici e ambientali da salvaguardare prioritariamente e gli ambiti dove convogliare le azioni previste, sia attraverso una rappresentazione cartografica che nella formulazione degli indirizzi, per sostenerne l’effettiva attuazione alla scala comunale.</w:t>
            </w:r>
          </w:p>
        </w:tc>
        <w:tc>
          <w:tcPr>
            <w:tcW w:w="1200" w:type="dxa"/>
          </w:tcPr>
          <w:p w14:paraId="6ECC5D94" w14:textId="77A9C5DD" w:rsidR="00571DA5" w:rsidRPr="00DD5B07" w:rsidRDefault="009D031F" w:rsidP="00571DA5">
            <w:pPr>
              <w:rPr>
                <w:rFonts w:cstheme="minorHAnsi"/>
                <w:bCs/>
              </w:rPr>
            </w:pPr>
            <w:r>
              <w:rPr>
                <w:rFonts w:cstheme="minorHAnsi"/>
                <w:bCs/>
              </w:rPr>
              <w:t>Calvano</w:t>
            </w:r>
          </w:p>
        </w:tc>
        <w:tc>
          <w:tcPr>
            <w:tcW w:w="1408" w:type="dxa"/>
          </w:tcPr>
          <w:p w14:paraId="312EE5A9" w14:textId="77777777" w:rsidR="00571DA5" w:rsidRPr="00DD5B07" w:rsidRDefault="00571DA5" w:rsidP="00571DA5">
            <w:pPr>
              <w:spacing w:after="120"/>
              <w:rPr>
                <w:rFonts w:cstheme="minorHAnsi"/>
                <w:bCs/>
              </w:rPr>
            </w:pPr>
          </w:p>
        </w:tc>
      </w:tr>
      <w:tr w:rsidR="00571DA5" w:rsidRPr="00DD5B07" w14:paraId="400B2CFE" w14:textId="77777777" w:rsidTr="0036150F">
        <w:tc>
          <w:tcPr>
            <w:tcW w:w="7020" w:type="dxa"/>
          </w:tcPr>
          <w:p w14:paraId="398800DA" w14:textId="00C51C5C" w:rsidR="00571DA5" w:rsidRPr="00DD5B07" w:rsidRDefault="00571DA5" w:rsidP="00571DA5">
            <w:pPr>
              <w:spacing w:after="120"/>
              <w:rPr>
                <w:rFonts w:cstheme="minorHAnsi"/>
                <w:b/>
                <w:bCs/>
              </w:rPr>
            </w:pPr>
            <w:r>
              <w:t xml:space="preserve">33) </w:t>
            </w:r>
            <w:r w:rsidRPr="002771D0">
              <w:t xml:space="preserve">Nella LEGENDA della Tav.1 - Indicazioni paesaggistiche ed ambientali - non è stato riportato l’indicazione del retino dei 150 mt. dei corsi d’acqua, di cui alla lett. c) art. 142 del D.Lgs. 42/2004, presente invece nella cartografia di riferimento (TAV. 1 Circ A, B, C, D). </w:t>
            </w:r>
          </w:p>
        </w:tc>
        <w:tc>
          <w:tcPr>
            <w:tcW w:w="1200" w:type="dxa"/>
          </w:tcPr>
          <w:p w14:paraId="31956FC2" w14:textId="0A8A6FD8" w:rsidR="00571DA5" w:rsidRPr="00DD5B07" w:rsidRDefault="009D031F" w:rsidP="00571DA5">
            <w:pPr>
              <w:rPr>
                <w:rFonts w:cstheme="minorHAnsi"/>
                <w:bCs/>
              </w:rPr>
            </w:pPr>
            <w:r>
              <w:rPr>
                <w:rFonts w:cstheme="minorHAnsi"/>
                <w:bCs/>
              </w:rPr>
              <w:t>Calvano</w:t>
            </w:r>
          </w:p>
        </w:tc>
        <w:tc>
          <w:tcPr>
            <w:tcW w:w="1408" w:type="dxa"/>
          </w:tcPr>
          <w:p w14:paraId="4CED20AB" w14:textId="77777777" w:rsidR="00571DA5" w:rsidRPr="00DD5B07" w:rsidRDefault="00571DA5" w:rsidP="00571DA5">
            <w:pPr>
              <w:spacing w:after="120"/>
              <w:rPr>
                <w:rFonts w:cstheme="minorHAnsi"/>
                <w:bCs/>
              </w:rPr>
            </w:pPr>
          </w:p>
        </w:tc>
      </w:tr>
      <w:tr w:rsidR="00571DA5" w:rsidRPr="00DD5B07" w14:paraId="3E2C2A42" w14:textId="77777777" w:rsidTr="0036150F">
        <w:tc>
          <w:tcPr>
            <w:tcW w:w="7020" w:type="dxa"/>
          </w:tcPr>
          <w:p w14:paraId="07C9E332" w14:textId="562ED636" w:rsidR="00571DA5" w:rsidRPr="00DD5B07" w:rsidRDefault="00571DA5" w:rsidP="00571DA5">
            <w:pPr>
              <w:spacing w:after="120"/>
              <w:rPr>
                <w:rFonts w:cstheme="minorHAnsi"/>
                <w:b/>
                <w:bCs/>
              </w:rPr>
            </w:pPr>
            <w:r>
              <w:t xml:space="preserve">34) </w:t>
            </w:r>
            <w:r w:rsidRPr="002771D0">
              <w:t>Stante la rappresentazione della Tavola ALL.2.1 di sintesi della Rete ecopaesistica in cui sono rappresentati i “Corridoi verdi primari da definire” e “i corridoi verdi primari di progetto”, si rileva che gli stessi non trovano poi corrispondenza sulle tavole 1 Circondari A, B, C, D. Risulta pertanto opportuno individuarli graficamente e definire puntuali indirizzi per l’attuazione.</w:t>
            </w:r>
          </w:p>
        </w:tc>
        <w:tc>
          <w:tcPr>
            <w:tcW w:w="1200" w:type="dxa"/>
          </w:tcPr>
          <w:p w14:paraId="671D9D40" w14:textId="273DF109" w:rsidR="00571DA5" w:rsidRPr="00DD5B07" w:rsidRDefault="009D031F" w:rsidP="00571DA5">
            <w:pPr>
              <w:rPr>
                <w:rFonts w:cstheme="minorHAnsi"/>
                <w:bCs/>
              </w:rPr>
            </w:pPr>
            <w:r>
              <w:rPr>
                <w:rFonts w:cstheme="minorHAnsi"/>
                <w:bCs/>
              </w:rPr>
              <w:t>Calvano</w:t>
            </w:r>
          </w:p>
        </w:tc>
        <w:tc>
          <w:tcPr>
            <w:tcW w:w="1408" w:type="dxa"/>
          </w:tcPr>
          <w:p w14:paraId="762680E8" w14:textId="77777777" w:rsidR="00571DA5" w:rsidRPr="00DD5B07" w:rsidRDefault="00571DA5" w:rsidP="00571DA5">
            <w:pPr>
              <w:spacing w:after="120"/>
              <w:rPr>
                <w:rFonts w:cstheme="minorHAnsi"/>
                <w:bCs/>
              </w:rPr>
            </w:pPr>
          </w:p>
        </w:tc>
      </w:tr>
      <w:tr w:rsidR="009D031F" w:rsidRPr="00DD5B07" w14:paraId="6BC593ED" w14:textId="77777777" w:rsidTr="0036150F">
        <w:tc>
          <w:tcPr>
            <w:tcW w:w="7020" w:type="dxa"/>
          </w:tcPr>
          <w:p w14:paraId="4217BD71" w14:textId="51F6CD34" w:rsidR="009D031F" w:rsidRPr="00DD5B07" w:rsidRDefault="009D031F" w:rsidP="009D031F">
            <w:pPr>
              <w:spacing w:before="120" w:after="120"/>
              <w:rPr>
                <w:rFonts w:cstheme="minorHAnsi"/>
                <w:b/>
                <w:bCs/>
              </w:rPr>
            </w:pPr>
            <w:r w:rsidRPr="0081502B">
              <w:rPr>
                <w:rFonts w:cstheme="minorHAnsi"/>
                <w:b/>
                <w:bCs/>
                <w:i/>
                <w:iCs/>
                <w:sz w:val="23"/>
                <w:szCs w:val="23"/>
              </w:rPr>
              <w:t>DG AGRICOLTURA, ALIMENTAZIONE E SISTEMI VERDI</w:t>
            </w:r>
          </w:p>
        </w:tc>
        <w:tc>
          <w:tcPr>
            <w:tcW w:w="1200" w:type="dxa"/>
          </w:tcPr>
          <w:p w14:paraId="23CB60BC" w14:textId="77777777" w:rsidR="009D031F" w:rsidRPr="00DD5B07" w:rsidRDefault="009D031F" w:rsidP="009D031F">
            <w:pPr>
              <w:spacing w:before="120" w:after="120"/>
              <w:rPr>
                <w:rFonts w:cstheme="minorHAnsi"/>
                <w:bCs/>
              </w:rPr>
            </w:pPr>
          </w:p>
        </w:tc>
        <w:tc>
          <w:tcPr>
            <w:tcW w:w="1408" w:type="dxa"/>
          </w:tcPr>
          <w:p w14:paraId="4C4AC71D" w14:textId="77777777" w:rsidR="009D031F" w:rsidRPr="00DD5B07" w:rsidRDefault="009D031F" w:rsidP="009D031F">
            <w:pPr>
              <w:spacing w:before="120" w:after="120"/>
              <w:rPr>
                <w:rFonts w:cstheme="minorHAnsi"/>
                <w:bCs/>
              </w:rPr>
            </w:pPr>
          </w:p>
        </w:tc>
      </w:tr>
      <w:tr w:rsidR="009D031F" w:rsidRPr="00DD5B07" w14:paraId="2764EE08" w14:textId="77777777" w:rsidTr="0036150F">
        <w:tc>
          <w:tcPr>
            <w:tcW w:w="7020" w:type="dxa"/>
          </w:tcPr>
          <w:p w14:paraId="15C8D69F" w14:textId="172B85D3" w:rsidR="009D031F" w:rsidRPr="009D031F" w:rsidRDefault="009D031F" w:rsidP="009D031F">
            <w:pPr>
              <w:spacing w:before="120" w:after="120"/>
              <w:rPr>
                <w:rFonts w:cstheme="minorHAnsi"/>
                <w:b/>
                <w:bCs/>
              </w:rPr>
            </w:pPr>
            <w:r w:rsidRPr="009D031F">
              <w:rPr>
                <w:rFonts w:cstheme="minorHAnsi"/>
                <w:b/>
                <w:bCs/>
                <w:i/>
                <w:iCs/>
              </w:rPr>
              <w:t>Struttura valorizzazione e sviluppo della montagna, uso e tutela del suolo agricolo</w:t>
            </w:r>
          </w:p>
        </w:tc>
        <w:tc>
          <w:tcPr>
            <w:tcW w:w="1200" w:type="dxa"/>
          </w:tcPr>
          <w:p w14:paraId="54DE5E6A" w14:textId="77777777" w:rsidR="009D031F" w:rsidRPr="00DD5B07" w:rsidRDefault="009D031F" w:rsidP="009D031F">
            <w:pPr>
              <w:spacing w:before="120" w:after="120"/>
              <w:rPr>
                <w:rFonts w:cstheme="minorHAnsi"/>
                <w:bCs/>
              </w:rPr>
            </w:pPr>
          </w:p>
        </w:tc>
        <w:tc>
          <w:tcPr>
            <w:tcW w:w="1408" w:type="dxa"/>
          </w:tcPr>
          <w:p w14:paraId="71D8DB60" w14:textId="77777777" w:rsidR="009D031F" w:rsidRPr="00DD5B07" w:rsidRDefault="009D031F" w:rsidP="009D031F">
            <w:pPr>
              <w:spacing w:before="120" w:after="120"/>
              <w:rPr>
                <w:rFonts w:cstheme="minorHAnsi"/>
                <w:bCs/>
              </w:rPr>
            </w:pPr>
          </w:p>
        </w:tc>
      </w:tr>
      <w:tr w:rsidR="009D031F" w:rsidRPr="00DD5B07" w14:paraId="1D3316D8" w14:textId="77777777" w:rsidTr="0036150F">
        <w:tc>
          <w:tcPr>
            <w:tcW w:w="7020" w:type="dxa"/>
          </w:tcPr>
          <w:p w14:paraId="563D7BF1" w14:textId="7BB9BD80" w:rsidR="009D031F" w:rsidRPr="00DD5B07" w:rsidRDefault="009D031F" w:rsidP="009D031F">
            <w:pPr>
              <w:spacing w:before="60" w:after="120"/>
              <w:rPr>
                <w:rFonts w:cstheme="minorHAnsi"/>
                <w:b/>
                <w:bCs/>
              </w:rPr>
            </w:pPr>
            <w:r w:rsidRPr="0081502B">
              <w:rPr>
                <w:rFonts w:cstheme="minorHAnsi"/>
                <w:bCs/>
                <w:iCs/>
                <w:sz w:val="23"/>
                <w:szCs w:val="23"/>
              </w:rPr>
              <w:t>Nessuna osservazione</w:t>
            </w:r>
          </w:p>
        </w:tc>
        <w:tc>
          <w:tcPr>
            <w:tcW w:w="1200" w:type="dxa"/>
          </w:tcPr>
          <w:p w14:paraId="0FC8A6C5" w14:textId="77777777" w:rsidR="009D031F" w:rsidRPr="00DD5B07" w:rsidRDefault="009D031F" w:rsidP="009D031F">
            <w:pPr>
              <w:spacing w:before="60" w:after="120"/>
              <w:rPr>
                <w:rFonts w:cstheme="minorHAnsi"/>
                <w:bCs/>
              </w:rPr>
            </w:pPr>
          </w:p>
        </w:tc>
        <w:tc>
          <w:tcPr>
            <w:tcW w:w="1408" w:type="dxa"/>
          </w:tcPr>
          <w:p w14:paraId="1FB27B5B" w14:textId="77777777" w:rsidR="009D031F" w:rsidRPr="00DD5B07" w:rsidRDefault="009D031F" w:rsidP="009D031F">
            <w:pPr>
              <w:spacing w:before="60" w:after="120"/>
              <w:rPr>
                <w:rFonts w:cstheme="minorHAnsi"/>
                <w:bCs/>
              </w:rPr>
            </w:pPr>
          </w:p>
        </w:tc>
      </w:tr>
      <w:tr w:rsidR="00B16501" w:rsidRPr="00B16501" w14:paraId="46F848C9" w14:textId="77777777" w:rsidTr="0036150F">
        <w:tc>
          <w:tcPr>
            <w:tcW w:w="7020" w:type="dxa"/>
          </w:tcPr>
          <w:p w14:paraId="4C002C91" w14:textId="6FA28F5F" w:rsidR="00B16501" w:rsidRPr="00B16501" w:rsidRDefault="00B16501" w:rsidP="00B16501">
            <w:pPr>
              <w:spacing w:before="120" w:after="120"/>
              <w:rPr>
                <w:rFonts w:cstheme="minorHAnsi"/>
                <w:b/>
                <w:bCs/>
                <w:i/>
                <w:iCs/>
                <w:sz w:val="23"/>
                <w:szCs w:val="23"/>
              </w:rPr>
            </w:pPr>
            <w:r w:rsidRPr="00EE5FD2">
              <w:rPr>
                <w:rFonts w:cstheme="minorHAnsi"/>
                <w:b/>
                <w:bCs/>
                <w:i/>
                <w:iCs/>
                <w:sz w:val="23"/>
                <w:szCs w:val="23"/>
              </w:rPr>
              <w:t xml:space="preserve">DG CASA E HOUSING SOCIALE </w:t>
            </w:r>
          </w:p>
        </w:tc>
        <w:tc>
          <w:tcPr>
            <w:tcW w:w="1200" w:type="dxa"/>
          </w:tcPr>
          <w:p w14:paraId="3DBA972F" w14:textId="77777777" w:rsidR="00B16501" w:rsidRPr="00B16501" w:rsidRDefault="00B16501" w:rsidP="00B16501">
            <w:pPr>
              <w:spacing w:before="120" w:after="120"/>
              <w:rPr>
                <w:rFonts w:cstheme="minorHAnsi"/>
                <w:b/>
                <w:bCs/>
                <w:i/>
                <w:iCs/>
                <w:sz w:val="23"/>
                <w:szCs w:val="23"/>
              </w:rPr>
            </w:pPr>
          </w:p>
        </w:tc>
        <w:tc>
          <w:tcPr>
            <w:tcW w:w="1408" w:type="dxa"/>
          </w:tcPr>
          <w:p w14:paraId="3A46BE1E" w14:textId="77777777" w:rsidR="00B16501" w:rsidRPr="00B16501" w:rsidRDefault="00B16501" w:rsidP="00B16501">
            <w:pPr>
              <w:spacing w:before="120" w:after="120"/>
              <w:rPr>
                <w:rFonts w:cstheme="minorHAnsi"/>
                <w:b/>
                <w:bCs/>
                <w:i/>
                <w:iCs/>
                <w:sz w:val="23"/>
                <w:szCs w:val="23"/>
              </w:rPr>
            </w:pPr>
          </w:p>
        </w:tc>
      </w:tr>
      <w:tr w:rsidR="00B16501" w:rsidRPr="00B16501" w14:paraId="574132E2" w14:textId="77777777" w:rsidTr="0036150F">
        <w:tc>
          <w:tcPr>
            <w:tcW w:w="7020" w:type="dxa"/>
          </w:tcPr>
          <w:p w14:paraId="3E0D103A" w14:textId="4A630F92" w:rsidR="00B16501" w:rsidRPr="00B16501" w:rsidRDefault="00B16501" w:rsidP="00B16501">
            <w:pPr>
              <w:spacing w:before="120" w:after="120"/>
              <w:rPr>
                <w:rFonts w:cstheme="minorHAnsi"/>
                <w:b/>
                <w:bCs/>
                <w:i/>
                <w:iCs/>
                <w:sz w:val="23"/>
                <w:szCs w:val="23"/>
              </w:rPr>
            </w:pPr>
            <w:r w:rsidRPr="00EE5FD2">
              <w:rPr>
                <w:rFonts w:cstheme="minorHAnsi"/>
                <w:b/>
                <w:bCs/>
                <w:i/>
                <w:iCs/>
                <w:sz w:val="23"/>
                <w:szCs w:val="23"/>
              </w:rPr>
              <w:t>UO Programmi per l’offerta abitativa</w:t>
            </w:r>
          </w:p>
        </w:tc>
        <w:tc>
          <w:tcPr>
            <w:tcW w:w="1200" w:type="dxa"/>
          </w:tcPr>
          <w:p w14:paraId="1634464F" w14:textId="77777777" w:rsidR="00B16501" w:rsidRPr="00B16501" w:rsidRDefault="00B16501" w:rsidP="00B16501">
            <w:pPr>
              <w:spacing w:before="120" w:after="120"/>
              <w:rPr>
                <w:rFonts w:cstheme="minorHAnsi"/>
                <w:b/>
                <w:bCs/>
                <w:i/>
                <w:iCs/>
                <w:sz w:val="23"/>
                <w:szCs w:val="23"/>
              </w:rPr>
            </w:pPr>
          </w:p>
        </w:tc>
        <w:tc>
          <w:tcPr>
            <w:tcW w:w="1408" w:type="dxa"/>
          </w:tcPr>
          <w:p w14:paraId="6E79F1E1" w14:textId="77777777" w:rsidR="00B16501" w:rsidRPr="00B16501" w:rsidRDefault="00B16501" w:rsidP="00B16501">
            <w:pPr>
              <w:spacing w:before="120" w:after="120"/>
              <w:rPr>
                <w:rFonts w:cstheme="minorHAnsi"/>
                <w:b/>
                <w:bCs/>
                <w:i/>
                <w:iCs/>
                <w:sz w:val="23"/>
                <w:szCs w:val="23"/>
              </w:rPr>
            </w:pPr>
          </w:p>
        </w:tc>
      </w:tr>
      <w:tr w:rsidR="00B16501" w:rsidRPr="00B16501" w14:paraId="172E2EAC" w14:textId="77777777" w:rsidTr="0036150F">
        <w:tc>
          <w:tcPr>
            <w:tcW w:w="7020" w:type="dxa"/>
          </w:tcPr>
          <w:p w14:paraId="7B49E289" w14:textId="62EBDE01" w:rsidR="00B16501" w:rsidRPr="00B16501" w:rsidRDefault="00B16501" w:rsidP="00B16501">
            <w:pPr>
              <w:spacing w:after="120"/>
              <w:jc w:val="both"/>
            </w:pPr>
            <w:r w:rsidRPr="00B16501">
              <w:lastRenderedPageBreak/>
              <w:t xml:space="preserve">35) </w:t>
            </w:r>
            <w:r>
              <w:t>S</w:t>
            </w:r>
            <w:r w:rsidRPr="00B16501">
              <w:t>i ritiene auspicabile che tra gli indirizzi del piano, da sottoporre all’attenzione dei Comuni, venga fatto un richiamo espresso all’individuazione delle aree per l’edilizia residenziale pubblica, ora servizi abitativi pubblici (SAP) ai sensi della LR n. 16/2016 “Disciplina regionale dei servizi abitativi”, ai sensi dell’art. 9, comma 1 della LR n. 12/2005 e s.m.i. e si esprima sempre più attenzione ai temi dell’inclusione dei cittadini e delle loro famiglie, dell’integrazione tra il tema dell’abitare e quello della riqualificazione, superando le situazioni di emarginazione e di disagio sociale attraverso il complessivo miglioramento della dotazione, anche sovracomunale, dei servizi, del verde, favorendo il mix sociale e avviando azioni per il contrasto della povertà energetica delle famiglie più fragili.</w:t>
            </w:r>
          </w:p>
        </w:tc>
        <w:tc>
          <w:tcPr>
            <w:tcW w:w="1200" w:type="dxa"/>
          </w:tcPr>
          <w:p w14:paraId="2EDA0DFE" w14:textId="77777777" w:rsidR="00B16501" w:rsidRDefault="00B16501" w:rsidP="00B16501">
            <w:pPr>
              <w:rPr>
                <w:rFonts w:cstheme="minorHAnsi"/>
                <w:bCs/>
              </w:rPr>
            </w:pPr>
            <w:r>
              <w:rPr>
                <w:rFonts w:cstheme="minorHAnsi"/>
                <w:bCs/>
              </w:rPr>
              <w:t>Redolfi</w:t>
            </w:r>
          </w:p>
          <w:p w14:paraId="5C84AB30" w14:textId="5F754C57" w:rsidR="00B16501" w:rsidRPr="00B16501" w:rsidRDefault="00B16501" w:rsidP="00B16501">
            <w:pPr>
              <w:rPr>
                <w:rFonts w:cstheme="minorHAnsi"/>
                <w:bCs/>
              </w:rPr>
            </w:pPr>
            <w:r>
              <w:rPr>
                <w:rFonts w:cstheme="minorHAnsi"/>
                <w:bCs/>
              </w:rPr>
              <w:t>Molinari</w:t>
            </w:r>
          </w:p>
        </w:tc>
        <w:tc>
          <w:tcPr>
            <w:tcW w:w="1408" w:type="dxa"/>
          </w:tcPr>
          <w:p w14:paraId="68A82F5F" w14:textId="77777777" w:rsidR="00B16501" w:rsidRPr="00B16501" w:rsidRDefault="00B16501" w:rsidP="00B16501">
            <w:pPr>
              <w:spacing w:after="120"/>
              <w:rPr>
                <w:rFonts w:cstheme="minorHAnsi"/>
                <w:bCs/>
              </w:rPr>
            </w:pPr>
          </w:p>
        </w:tc>
      </w:tr>
      <w:tr w:rsidR="009D031F" w:rsidRPr="00DD5B07" w14:paraId="3E830260" w14:textId="77777777" w:rsidTr="0036150F">
        <w:tc>
          <w:tcPr>
            <w:tcW w:w="7020" w:type="dxa"/>
          </w:tcPr>
          <w:p w14:paraId="61C14A2F" w14:textId="0C0DC7F6" w:rsidR="009D031F" w:rsidRPr="00B16501" w:rsidRDefault="00B16501" w:rsidP="00B16501">
            <w:pPr>
              <w:pStyle w:val="Default"/>
              <w:spacing w:before="120" w:after="120"/>
              <w:rPr>
                <w:rFonts w:asciiTheme="minorHAnsi" w:hAnsiTheme="minorHAnsi" w:cstheme="minorHAnsi"/>
                <w:b/>
                <w:bCs/>
                <w:i/>
                <w:iCs/>
                <w:sz w:val="23"/>
                <w:szCs w:val="23"/>
              </w:rPr>
            </w:pPr>
            <w:r w:rsidRPr="00253B70">
              <w:rPr>
                <w:rFonts w:asciiTheme="minorHAnsi" w:hAnsiTheme="minorHAnsi" w:cstheme="minorHAnsi"/>
                <w:b/>
                <w:bCs/>
                <w:i/>
                <w:iCs/>
                <w:sz w:val="23"/>
                <w:szCs w:val="23"/>
              </w:rPr>
              <w:t xml:space="preserve">DG AMBIENTE E CLIMA </w:t>
            </w:r>
          </w:p>
        </w:tc>
        <w:tc>
          <w:tcPr>
            <w:tcW w:w="1200" w:type="dxa"/>
          </w:tcPr>
          <w:p w14:paraId="4F47D4C6" w14:textId="77777777" w:rsidR="009D031F" w:rsidRPr="00DD5B07" w:rsidRDefault="009D031F" w:rsidP="00B16501">
            <w:pPr>
              <w:spacing w:before="120" w:after="120"/>
              <w:rPr>
                <w:rFonts w:cstheme="minorHAnsi"/>
                <w:bCs/>
              </w:rPr>
            </w:pPr>
          </w:p>
        </w:tc>
        <w:tc>
          <w:tcPr>
            <w:tcW w:w="1408" w:type="dxa"/>
          </w:tcPr>
          <w:p w14:paraId="11BA98C2" w14:textId="77777777" w:rsidR="009D031F" w:rsidRPr="00DD5B07" w:rsidRDefault="009D031F" w:rsidP="00B16501">
            <w:pPr>
              <w:spacing w:before="120" w:after="120"/>
              <w:rPr>
                <w:rFonts w:cstheme="minorHAnsi"/>
                <w:bCs/>
              </w:rPr>
            </w:pPr>
          </w:p>
        </w:tc>
      </w:tr>
      <w:tr w:rsidR="009D031F" w:rsidRPr="00DD5B07" w14:paraId="7D0471AB" w14:textId="77777777" w:rsidTr="0036150F">
        <w:tc>
          <w:tcPr>
            <w:tcW w:w="7020" w:type="dxa"/>
          </w:tcPr>
          <w:p w14:paraId="42FEE3AF" w14:textId="07BCF061" w:rsidR="009D031F" w:rsidRPr="00DD5B07" w:rsidRDefault="00B16501" w:rsidP="00B16501">
            <w:pPr>
              <w:spacing w:before="120" w:after="120"/>
              <w:rPr>
                <w:rFonts w:cstheme="minorHAnsi"/>
                <w:b/>
                <w:bCs/>
              </w:rPr>
            </w:pPr>
            <w:r w:rsidRPr="00253B70">
              <w:rPr>
                <w:rFonts w:cstheme="minorHAnsi"/>
                <w:b/>
                <w:bCs/>
                <w:i/>
                <w:iCs/>
                <w:sz w:val="23"/>
                <w:szCs w:val="23"/>
              </w:rPr>
              <w:t>UO Economia Circolare, Usi della Materia e Bonifiche - Struttura Bonifiche</w:t>
            </w:r>
          </w:p>
        </w:tc>
        <w:tc>
          <w:tcPr>
            <w:tcW w:w="1200" w:type="dxa"/>
          </w:tcPr>
          <w:p w14:paraId="47717D00" w14:textId="77777777" w:rsidR="009D031F" w:rsidRPr="00DD5B07" w:rsidRDefault="009D031F" w:rsidP="00B16501">
            <w:pPr>
              <w:spacing w:before="120" w:after="120"/>
              <w:rPr>
                <w:rFonts w:cstheme="minorHAnsi"/>
                <w:bCs/>
              </w:rPr>
            </w:pPr>
          </w:p>
        </w:tc>
        <w:tc>
          <w:tcPr>
            <w:tcW w:w="1408" w:type="dxa"/>
          </w:tcPr>
          <w:p w14:paraId="67D54D54" w14:textId="77777777" w:rsidR="009D031F" w:rsidRPr="00DD5B07" w:rsidRDefault="009D031F" w:rsidP="00B16501">
            <w:pPr>
              <w:spacing w:before="120" w:after="120"/>
              <w:rPr>
                <w:rFonts w:cstheme="minorHAnsi"/>
                <w:bCs/>
              </w:rPr>
            </w:pPr>
          </w:p>
        </w:tc>
      </w:tr>
      <w:tr w:rsidR="00B16501" w:rsidRPr="00DD5B07" w14:paraId="2635BAD8" w14:textId="77777777" w:rsidTr="0036150F">
        <w:tc>
          <w:tcPr>
            <w:tcW w:w="7020" w:type="dxa"/>
          </w:tcPr>
          <w:p w14:paraId="2E89AB60" w14:textId="53F938CC" w:rsidR="00B16501" w:rsidRPr="00DD5B07" w:rsidRDefault="00B16501" w:rsidP="00B16501">
            <w:pPr>
              <w:spacing w:after="120"/>
              <w:rPr>
                <w:rFonts w:cstheme="minorHAnsi"/>
                <w:b/>
                <w:bCs/>
              </w:rPr>
            </w:pPr>
            <w:r>
              <w:t xml:space="preserve">36) </w:t>
            </w:r>
            <w:r w:rsidRPr="00A9455E">
              <w:t xml:space="preserve">Nella tabella riportata al sottoparagrafo 1.3.2 “Indirizzi del PTCP per la rigenerazione urbana e territoriale” della “Relazione illustrativa”, relativa all’elenco delle “Aree di rigenerazione territoriale di rilevanza sovralocale” individuate (e ripresa nell’ “Allegato 1.5 - Schede aree della rigenerazione territoriale di rilevanza sovralocale”), si consiglia di aggiungere una colonna relativa allo stato di contaminazione, secondo le categorie: potenzialmente contaminato, contaminato, non contaminato, bonificato. </w:t>
            </w:r>
          </w:p>
        </w:tc>
        <w:tc>
          <w:tcPr>
            <w:tcW w:w="1200" w:type="dxa"/>
          </w:tcPr>
          <w:p w14:paraId="66999650" w14:textId="77777777" w:rsidR="00B16501" w:rsidRDefault="00B16501" w:rsidP="00B16501">
            <w:pPr>
              <w:rPr>
                <w:rFonts w:cstheme="minorHAnsi"/>
                <w:bCs/>
              </w:rPr>
            </w:pPr>
            <w:r>
              <w:rPr>
                <w:rFonts w:cstheme="minorHAnsi"/>
                <w:bCs/>
              </w:rPr>
              <w:t>Redolfi</w:t>
            </w:r>
          </w:p>
          <w:p w14:paraId="72805E42" w14:textId="2D286217" w:rsidR="00B16501" w:rsidRPr="00DD5B07" w:rsidRDefault="00B16501" w:rsidP="00B16501">
            <w:pPr>
              <w:rPr>
                <w:rFonts w:cstheme="minorHAnsi"/>
                <w:bCs/>
              </w:rPr>
            </w:pPr>
            <w:r>
              <w:rPr>
                <w:rFonts w:cstheme="minorHAnsi"/>
                <w:bCs/>
              </w:rPr>
              <w:t>Molinari</w:t>
            </w:r>
          </w:p>
        </w:tc>
        <w:tc>
          <w:tcPr>
            <w:tcW w:w="1408" w:type="dxa"/>
          </w:tcPr>
          <w:p w14:paraId="41AD08C1" w14:textId="77777777" w:rsidR="00B16501" w:rsidRPr="00DD5B07" w:rsidRDefault="00B16501" w:rsidP="00B16501">
            <w:pPr>
              <w:spacing w:after="120"/>
              <w:rPr>
                <w:rFonts w:cstheme="minorHAnsi"/>
                <w:bCs/>
              </w:rPr>
            </w:pPr>
          </w:p>
        </w:tc>
      </w:tr>
      <w:tr w:rsidR="00B16501" w:rsidRPr="00DD5B07" w14:paraId="77B8123C" w14:textId="77777777" w:rsidTr="0036150F">
        <w:tc>
          <w:tcPr>
            <w:tcW w:w="7020" w:type="dxa"/>
          </w:tcPr>
          <w:p w14:paraId="764DA511" w14:textId="0707F283" w:rsidR="00B16501" w:rsidRPr="00DD5B07" w:rsidRDefault="00B16501" w:rsidP="00B16501">
            <w:pPr>
              <w:spacing w:after="120"/>
              <w:rPr>
                <w:rFonts w:cstheme="minorHAnsi"/>
                <w:b/>
                <w:bCs/>
              </w:rPr>
            </w:pPr>
            <w:r>
              <w:rPr>
                <w:sz w:val="23"/>
                <w:szCs w:val="23"/>
              </w:rPr>
              <w:t xml:space="preserve">37) </w:t>
            </w:r>
            <w:r w:rsidRPr="00A9455E">
              <w:rPr>
                <w:sz w:val="23"/>
                <w:szCs w:val="23"/>
              </w:rPr>
              <w:t>Con riferimento alla situazione di inquinamento diffuso delle acque sotterranee di alcuni Comuni, elemento rilevante ai fini dell'inquadramento ambientale e programmatorio che potrebbe incidere su alcuni aspetti della pianificazione urbanistica, in particolare per eventuali previsioni che possano interessare le acque sotterranee, la Provincia con il PTCP può essere lo strumento di indirizzo opportuno e specifico per la pianificazione comunale.</w:t>
            </w:r>
          </w:p>
        </w:tc>
        <w:tc>
          <w:tcPr>
            <w:tcW w:w="1200" w:type="dxa"/>
          </w:tcPr>
          <w:p w14:paraId="1BC26AA6" w14:textId="4D277FCD" w:rsidR="00B16501" w:rsidRPr="00DD5B07" w:rsidRDefault="00B16501" w:rsidP="00B16501">
            <w:pPr>
              <w:rPr>
                <w:rFonts w:cstheme="minorHAnsi"/>
                <w:bCs/>
              </w:rPr>
            </w:pPr>
            <w:r>
              <w:rPr>
                <w:rFonts w:cstheme="minorHAnsi"/>
                <w:bCs/>
              </w:rPr>
              <w:t>Molinari</w:t>
            </w:r>
          </w:p>
        </w:tc>
        <w:tc>
          <w:tcPr>
            <w:tcW w:w="1408" w:type="dxa"/>
          </w:tcPr>
          <w:p w14:paraId="0C822452" w14:textId="77777777" w:rsidR="00B16501" w:rsidRPr="00DD5B07" w:rsidRDefault="00B16501" w:rsidP="00B16501">
            <w:pPr>
              <w:spacing w:after="120"/>
              <w:rPr>
                <w:rFonts w:cstheme="minorHAnsi"/>
                <w:bCs/>
              </w:rPr>
            </w:pPr>
          </w:p>
        </w:tc>
      </w:tr>
      <w:tr w:rsidR="00B16501" w:rsidRPr="00DD5B07" w14:paraId="5B80FCC5" w14:textId="77777777" w:rsidTr="0036150F">
        <w:tc>
          <w:tcPr>
            <w:tcW w:w="7020" w:type="dxa"/>
          </w:tcPr>
          <w:p w14:paraId="6BA08DB1" w14:textId="06581ECB" w:rsidR="00B16501" w:rsidRPr="00DD5B07" w:rsidRDefault="00B16501" w:rsidP="00B16501">
            <w:pPr>
              <w:keepNext/>
              <w:spacing w:after="120"/>
              <w:rPr>
                <w:rFonts w:cstheme="minorHAnsi"/>
                <w:b/>
                <w:bCs/>
              </w:rPr>
            </w:pPr>
            <w:r>
              <w:rPr>
                <w:sz w:val="23"/>
                <w:szCs w:val="23"/>
              </w:rPr>
              <w:t xml:space="preserve">38) </w:t>
            </w:r>
            <w:r w:rsidRPr="00A9455E">
              <w:rPr>
                <w:sz w:val="23"/>
                <w:szCs w:val="23"/>
              </w:rPr>
              <w:t xml:space="preserve">In linea generale, negli “Indirizzi normativi” si ritiene opportuno esplicitare le misure di eco-sostenibilità in riferimento al tema della bonifica legata alla rigenerazione delle aree (es. applicazione di tecnologie innovative di bonifica). In tema di sostenibilità ed economia circolare, si ritiene fondamentale la scelta delle opportune tecnologie di bonifica secondo i criteri che mirano a raggiungere il miglior rapporto costi-benefici (abbattere i costi e contemperare i tempi per la bonifica e per la rigenerazione </w:t>
            </w:r>
          </w:p>
        </w:tc>
        <w:tc>
          <w:tcPr>
            <w:tcW w:w="1200" w:type="dxa"/>
          </w:tcPr>
          <w:p w14:paraId="7DA20F55" w14:textId="77777777" w:rsidR="00B16501" w:rsidRDefault="00B16501" w:rsidP="00B16501">
            <w:pPr>
              <w:keepNext/>
              <w:rPr>
                <w:rFonts w:cstheme="minorHAnsi"/>
                <w:bCs/>
              </w:rPr>
            </w:pPr>
            <w:r>
              <w:rPr>
                <w:rFonts w:cstheme="minorHAnsi"/>
                <w:bCs/>
              </w:rPr>
              <w:t>Redolfi</w:t>
            </w:r>
          </w:p>
          <w:p w14:paraId="0968AFEC" w14:textId="4D333BEB" w:rsidR="00B16501" w:rsidRPr="00DD5B07" w:rsidRDefault="00B16501" w:rsidP="00B16501">
            <w:pPr>
              <w:keepNext/>
              <w:rPr>
                <w:rFonts w:cstheme="minorHAnsi"/>
                <w:bCs/>
              </w:rPr>
            </w:pPr>
            <w:r>
              <w:rPr>
                <w:rFonts w:cstheme="minorHAnsi"/>
                <w:bCs/>
              </w:rPr>
              <w:t>Molinari</w:t>
            </w:r>
          </w:p>
        </w:tc>
        <w:tc>
          <w:tcPr>
            <w:tcW w:w="1408" w:type="dxa"/>
          </w:tcPr>
          <w:p w14:paraId="1031A483" w14:textId="77777777" w:rsidR="00B16501" w:rsidRPr="00DD5B07" w:rsidRDefault="00B16501" w:rsidP="00B16501">
            <w:pPr>
              <w:keepNext/>
              <w:spacing w:after="120"/>
              <w:rPr>
                <w:rFonts w:cstheme="minorHAnsi"/>
                <w:bCs/>
              </w:rPr>
            </w:pPr>
          </w:p>
        </w:tc>
      </w:tr>
      <w:tr w:rsidR="00B16501" w:rsidRPr="00DD5B07" w14:paraId="4435AE9F" w14:textId="77777777" w:rsidTr="0036150F">
        <w:tc>
          <w:tcPr>
            <w:tcW w:w="7020" w:type="dxa"/>
          </w:tcPr>
          <w:p w14:paraId="7E6E00D5" w14:textId="42803A9D" w:rsidR="00B16501" w:rsidRPr="00DD5B07" w:rsidRDefault="00B16501" w:rsidP="00B16501">
            <w:pPr>
              <w:spacing w:after="120"/>
              <w:rPr>
                <w:rFonts w:cstheme="minorHAnsi"/>
                <w:b/>
                <w:bCs/>
              </w:rPr>
            </w:pPr>
            <w:r>
              <w:t xml:space="preserve">39) </w:t>
            </w:r>
            <w:r w:rsidRPr="00A9455E">
              <w:t>In merito alla bonifica di aree contaminate che interferiscono con la Rete Ecopaesistica Provinciale, si suggerisce di aggiungere all’articolo 34.4 “Indirizzi del PTCP per le interferenze della rete” degli “Indirizzi normativi”: d) “il ricorso a opportune tecnologie di bonifica in termini di sostenibilità ed economia circolare secondo i criteri che mirano a raggiungere il miglior rapporto costi-benefici (abbattere i costi e contemperare i tempi per la bonifica e per la rigenerazione)”.</w:t>
            </w:r>
          </w:p>
        </w:tc>
        <w:tc>
          <w:tcPr>
            <w:tcW w:w="1200" w:type="dxa"/>
          </w:tcPr>
          <w:p w14:paraId="5D22E177" w14:textId="17EDBD47" w:rsidR="00B16501" w:rsidRPr="00DD5B07" w:rsidRDefault="00FE7E7E" w:rsidP="00B16501">
            <w:pPr>
              <w:rPr>
                <w:rFonts w:cstheme="minorHAnsi"/>
                <w:bCs/>
              </w:rPr>
            </w:pPr>
            <w:r>
              <w:rPr>
                <w:rFonts w:cstheme="minorHAnsi"/>
                <w:bCs/>
              </w:rPr>
              <w:t>Calvano</w:t>
            </w:r>
          </w:p>
        </w:tc>
        <w:tc>
          <w:tcPr>
            <w:tcW w:w="1408" w:type="dxa"/>
          </w:tcPr>
          <w:p w14:paraId="1E307643" w14:textId="77777777" w:rsidR="00B16501" w:rsidRPr="00DD5B07" w:rsidRDefault="00B16501" w:rsidP="00B16501">
            <w:pPr>
              <w:spacing w:after="120"/>
              <w:rPr>
                <w:rFonts w:cstheme="minorHAnsi"/>
                <w:bCs/>
              </w:rPr>
            </w:pPr>
          </w:p>
        </w:tc>
      </w:tr>
      <w:tr w:rsidR="009D031F" w:rsidRPr="00DD5B07" w14:paraId="5C1CC505" w14:textId="77777777" w:rsidTr="0036150F">
        <w:tc>
          <w:tcPr>
            <w:tcW w:w="7020" w:type="dxa"/>
          </w:tcPr>
          <w:p w14:paraId="5A78F223" w14:textId="03144E51" w:rsidR="009D031F" w:rsidRPr="00FE7E7E" w:rsidRDefault="00FE7E7E" w:rsidP="00FE7E7E">
            <w:pPr>
              <w:pStyle w:val="Default"/>
              <w:spacing w:before="120" w:after="120"/>
              <w:rPr>
                <w:rFonts w:asciiTheme="minorHAnsi" w:hAnsiTheme="minorHAnsi" w:cstheme="minorHAnsi"/>
                <w:b/>
                <w:bCs/>
                <w:i/>
                <w:iCs/>
                <w:sz w:val="23"/>
                <w:szCs w:val="23"/>
              </w:rPr>
            </w:pPr>
            <w:r w:rsidRPr="00912148">
              <w:rPr>
                <w:rFonts w:asciiTheme="minorHAnsi" w:hAnsiTheme="minorHAnsi" w:cstheme="minorHAnsi"/>
                <w:b/>
                <w:bCs/>
                <w:i/>
                <w:iCs/>
                <w:sz w:val="23"/>
                <w:szCs w:val="23"/>
              </w:rPr>
              <w:t>DG INFRASTRUTTURE, TRASPORTI E MOBILITÀ SOSTENIBILE</w:t>
            </w:r>
          </w:p>
        </w:tc>
        <w:tc>
          <w:tcPr>
            <w:tcW w:w="1200" w:type="dxa"/>
          </w:tcPr>
          <w:p w14:paraId="6CEE0387" w14:textId="77777777" w:rsidR="009D031F" w:rsidRPr="00DD5B07" w:rsidRDefault="009D031F" w:rsidP="00FE7E7E">
            <w:pPr>
              <w:spacing w:before="120" w:after="120"/>
              <w:rPr>
                <w:rFonts w:cstheme="minorHAnsi"/>
                <w:bCs/>
              </w:rPr>
            </w:pPr>
          </w:p>
        </w:tc>
        <w:tc>
          <w:tcPr>
            <w:tcW w:w="1408" w:type="dxa"/>
          </w:tcPr>
          <w:p w14:paraId="020A3195" w14:textId="77777777" w:rsidR="009D031F" w:rsidRPr="00DD5B07" w:rsidRDefault="009D031F" w:rsidP="00FE7E7E">
            <w:pPr>
              <w:spacing w:before="120" w:after="120"/>
              <w:rPr>
                <w:rFonts w:cstheme="minorHAnsi"/>
                <w:bCs/>
              </w:rPr>
            </w:pPr>
          </w:p>
        </w:tc>
      </w:tr>
      <w:tr w:rsidR="009D031F" w:rsidRPr="00DD5B07" w14:paraId="320A3E00" w14:textId="77777777" w:rsidTr="0036150F">
        <w:tc>
          <w:tcPr>
            <w:tcW w:w="7020" w:type="dxa"/>
          </w:tcPr>
          <w:p w14:paraId="56BF2AE2" w14:textId="37FC4042" w:rsidR="009D031F" w:rsidRPr="00FE7E7E" w:rsidRDefault="00FE7E7E" w:rsidP="00FE7E7E">
            <w:pPr>
              <w:pStyle w:val="Default"/>
              <w:spacing w:before="120" w:after="120"/>
              <w:rPr>
                <w:rFonts w:asciiTheme="minorHAnsi" w:hAnsiTheme="minorHAnsi" w:cstheme="minorHAnsi"/>
                <w:b/>
                <w:bCs/>
                <w:i/>
                <w:iCs/>
                <w:sz w:val="23"/>
                <w:szCs w:val="23"/>
              </w:rPr>
            </w:pPr>
            <w:r w:rsidRPr="002B3A58">
              <w:rPr>
                <w:rFonts w:asciiTheme="minorHAnsi" w:hAnsiTheme="minorHAnsi" w:cstheme="minorHAnsi"/>
                <w:b/>
                <w:bCs/>
                <w:i/>
                <w:iCs/>
                <w:sz w:val="23"/>
                <w:szCs w:val="23"/>
              </w:rPr>
              <w:t>a) Viabilità</w:t>
            </w:r>
          </w:p>
        </w:tc>
        <w:tc>
          <w:tcPr>
            <w:tcW w:w="1200" w:type="dxa"/>
          </w:tcPr>
          <w:p w14:paraId="7EDCF751" w14:textId="77777777" w:rsidR="009D031F" w:rsidRPr="00DD5B07" w:rsidRDefault="009D031F" w:rsidP="00FE7E7E">
            <w:pPr>
              <w:spacing w:before="120" w:after="120"/>
              <w:rPr>
                <w:rFonts w:cstheme="minorHAnsi"/>
                <w:bCs/>
              </w:rPr>
            </w:pPr>
          </w:p>
        </w:tc>
        <w:tc>
          <w:tcPr>
            <w:tcW w:w="1408" w:type="dxa"/>
          </w:tcPr>
          <w:p w14:paraId="7E08C8BF" w14:textId="77777777" w:rsidR="009D031F" w:rsidRPr="00DD5B07" w:rsidRDefault="009D031F" w:rsidP="00FE7E7E">
            <w:pPr>
              <w:spacing w:before="120" w:after="120"/>
              <w:rPr>
                <w:rFonts w:cstheme="minorHAnsi"/>
                <w:bCs/>
              </w:rPr>
            </w:pPr>
          </w:p>
        </w:tc>
      </w:tr>
      <w:tr w:rsidR="00FE7E7E" w:rsidRPr="00DD5B07" w14:paraId="36C72306" w14:textId="77777777" w:rsidTr="0036150F">
        <w:tc>
          <w:tcPr>
            <w:tcW w:w="7020" w:type="dxa"/>
          </w:tcPr>
          <w:p w14:paraId="4DF94E28" w14:textId="2143B219" w:rsidR="00FE7E7E" w:rsidRPr="00DD5B07" w:rsidRDefault="00FE7E7E" w:rsidP="00FE7E7E">
            <w:pPr>
              <w:spacing w:after="120"/>
              <w:rPr>
                <w:rFonts w:cstheme="minorHAnsi"/>
                <w:b/>
                <w:bCs/>
              </w:rPr>
            </w:pPr>
            <w:r>
              <w:lastRenderedPageBreak/>
              <w:t>40) C</w:t>
            </w:r>
            <w:r w:rsidRPr="00B41019">
              <w:t>on riferimento alla previsione dell’autostrada Cremona-Mantova, le modalità di recepimento adottate siano riviste in favore di soluzioni cartografiche e disciplinari che diano conto con maggiore chiarezza e precisione (consentita anche dalla scala 1.25.000 degli elaborati) della sussistenza di entrambi i corridoi di salvaguardia attualmente operanti sopra richiamati (Preliminare approvato e Definitivo depositato), rispetto ai quali il PTCP è tenuto ad assicurare la conformità alla programmazione regionale in essere.</w:t>
            </w:r>
          </w:p>
        </w:tc>
        <w:tc>
          <w:tcPr>
            <w:tcW w:w="1200" w:type="dxa"/>
          </w:tcPr>
          <w:p w14:paraId="140CF290" w14:textId="77777777" w:rsidR="00FE7E7E" w:rsidRDefault="00FE7E7E" w:rsidP="00FE7E7E">
            <w:pPr>
              <w:rPr>
                <w:rFonts w:cstheme="minorHAnsi"/>
                <w:bCs/>
              </w:rPr>
            </w:pPr>
            <w:r>
              <w:rPr>
                <w:rFonts w:cstheme="minorHAnsi"/>
                <w:bCs/>
              </w:rPr>
              <w:t>Molinari</w:t>
            </w:r>
          </w:p>
          <w:p w14:paraId="45EDDB88" w14:textId="77777777" w:rsidR="00FE7E7E" w:rsidRDefault="00FE7E7E" w:rsidP="00FE7E7E">
            <w:pPr>
              <w:rPr>
                <w:rFonts w:cstheme="minorHAnsi"/>
                <w:bCs/>
              </w:rPr>
            </w:pPr>
            <w:r>
              <w:rPr>
                <w:rFonts w:cstheme="minorHAnsi"/>
                <w:bCs/>
              </w:rPr>
              <w:t>Calvano</w:t>
            </w:r>
          </w:p>
          <w:p w14:paraId="70382B4C" w14:textId="3FBBF614" w:rsidR="00FE7E7E" w:rsidRPr="00DD5B07" w:rsidRDefault="00FE7E7E" w:rsidP="00FE7E7E">
            <w:pPr>
              <w:rPr>
                <w:rFonts w:cstheme="minorHAnsi"/>
                <w:bCs/>
              </w:rPr>
            </w:pPr>
            <w:r>
              <w:rPr>
                <w:rFonts w:cstheme="minorHAnsi"/>
                <w:bCs/>
              </w:rPr>
              <w:t>Fornari</w:t>
            </w:r>
          </w:p>
        </w:tc>
        <w:tc>
          <w:tcPr>
            <w:tcW w:w="1408" w:type="dxa"/>
          </w:tcPr>
          <w:p w14:paraId="35E1E97D" w14:textId="77777777" w:rsidR="00FE7E7E" w:rsidRPr="00DD5B07" w:rsidRDefault="00FE7E7E" w:rsidP="00FE7E7E">
            <w:pPr>
              <w:spacing w:after="120"/>
              <w:rPr>
                <w:rFonts w:cstheme="minorHAnsi"/>
                <w:bCs/>
              </w:rPr>
            </w:pPr>
          </w:p>
        </w:tc>
      </w:tr>
      <w:tr w:rsidR="00FE7E7E" w:rsidRPr="00DD5B07" w14:paraId="62A5D08F" w14:textId="77777777" w:rsidTr="0036150F">
        <w:tc>
          <w:tcPr>
            <w:tcW w:w="7020" w:type="dxa"/>
          </w:tcPr>
          <w:p w14:paraId="28EE3FF2" w14:textId="3A1C0278" w:rsidR="00FE7E7E" w:rsidRPr="0036150F" w:rsidRDefault="00FE7E7E" w:rsidP="0036150F">
            <w:pPr>
              <w:rPr>
                <w:rFonts w:cstheme="minorHAnsi"/>
              </w:rPr>
            </w:pPr>
            <w:r>
              <w:t xml:space="preserve">41) </w:t>
            </w:r>
            <w:r w:rsidRPr="00B41019">
              <w:t>Sul piano della normativa di attuazione si ritiene che la trattazione delle salvaguardie urbanistiche di ciascun intervento contenuta nel Titolo IV degli Indirizzi normativi (e segnatamente al Capo III - 23 Prescrizioni e indirizzi per gli elementi della rete) necessiti di una significativa rivisitazione volta a semplificare e razionalizzare gli attuali dispositivi, quantomeno ai fini di una migliore leggibilità e certezza di applicazione dello strumento</w:t>
            </w:r>
            <w:r w:rsidRPr="00FE7E7E">
              <w:rPr>
                <w:highlight w:val="yellow"/>
              </w:rPr>
              <w:t>. (vedi pag. 23 del parere regionale)</w:t>
            </w:r>
            <w:r w:rsidRPr="00B41019">
              <w:t xml:space="preserve">. In qualsiasi caso, nell’ambito della rivisitazione complessiva della disciplina del Titolo IV, dovrà essere esplicitamente riportato che i presupposti giuridici per la salvaguardia dei corridoi delle due opere autostradali qualificate come Obiettivi </w:t>
            </w:r>
            <w:r w:rsidRPr="0036150F">
              <w:rPr>
                <w:rFonts w:cstheme="minorHAnsi"/>
              </w:rPr>
              <w:t>prioritari del P.T.R. restano costituiti, come già anticipato:</w:t>
            </w:r>
          </w:p>
          <w:p w14:paraId="5235E037" w14:textId="77777777" w:rsidR="0036150F" w:rsidRPr="0036150F" w:rsidRDefault="0036150F" w:rsidP="0036150F">
            <w:pPr>
              <w:numPr>
                <w:ilvl w:val="0"/>
                <w:numId w:val="8"/>
              </w:numPr>
              <w:tabs>
                <w:tab w:val="left" w:pos="720"/>
              </w:tabs>
              <w:ind w:left="340" w:hanging="170"/>
              <w:rPr>
                <w:rFonts w:cstheme="minorHAnsi"/>
              </w:rPr>
            </w:pPr>
            <w:r w:rsidRPr="0036150F">
              <w:rPr>
                <w:rFonts w:eastAsia="Arial Narrow" w:cstheme="minorHAnsi"/>
              </w:rPr>
              <w:t>dall’art. 19 LR 9/2001 per il progetto preliminare dell’autostrada regionale Cremona-Mantova;</w:t>
            </w:r>
          </w:p>
          <w:p w14:paraId="10976304" w14:textId="10D37053" w:rsidR="0036150F" w:rsidRPr="00DD5B07" w:rsidRDefault="0036150F" w:rsidP="0036150F">
            <w:pPr>
              <w:numPr>
                <w:ilvl w:val="0"/>
                <w:numId w:val="8"/>
              </w:numPr>
              <w:tabs>
                <w:tab w:val="left" w:pos="720"/>
              </w:tabs>
              <w:ind w:left="340" w:right="20" w:hanging="170"/>
              <w:rPr>
                <w:rFonts w:cstheme="minorHAnsi"/>
                <w:b/>
                <w:bCs/>
              </w:rPr>
            </w:pPr>
            <w:r w:rsidRPr="0036150F">
              <w:rPr>
                <w:rFonts w:eastAsia="Arial Narrow" w:cstheme="minorHAnsi"/>
              </w:rPr>
              <w:t xml:space="preserve">dall’art. 102 bis LR 12/2005 per i progetti definitivi del Collegamento </w:t>
            </w:r>
            <w:proofErr w:type="spellStart"/>
            <w:r w:rsidRPr="0036150F">
              <w:rPr>
                <w:rFonts w:eastAsia="Arial Narrow" w:cstheme="minorHAnsi"/>
              </w:rPr>
              <w:t>Ti.Bre</w:t>
            </w:r>
            <w:proofErr w:type="spellEnd"/>
            <w:r w:rsidRPr="0036150F">
              <w:rPr>
                <w:rFonts w:eastAsia="Arial Narrow" w:cstheme="minorHAnsi"/>
              </w:rPr>
              <w:t>. e della stessa autostrada regionale.</w:t>
            </w:r>
          </w:p>
        </w:tc>
        <w:tc>
          <w:tcPr>
            <w:tcW w:w="1200" w:type="dxa"/>
          </w:tcPr>
          <w:p w14:paraId="6C95C46B" w14:textId="77777777" w:rsidR="00FE7E7E" w:rsidRDefault="00FE7E7E" w:rsidP="00FE7E7E">
            <w:pPr>
              <w:rPr>
                <w:rFonts w:cstheme="minorHAnsi"/>
                <w:bCs/>
              </w:rPr>
            </w:pPr>
            <w:r>
              <w:rPr>
                <w:rFonts w:cstheme="minorHAnsi"/>
                <w:bCs/>
              </w:rPr>
              <w:t>Fornari</w:t>
            </w:r>
          </w:p>
          <w:p w14:paraId="1ABE4F05" w14:textId="19912573" w:rsidR="00FE7E7E" w:rsidRPr="00DD5B07" w:rsidRDefault="00FE7E7E" w:rsidP="00FE7E7E">
            <w:pPr>
              <w:rPr>
                <w:rFonts w:cstheme="minorHAnsi"/>
                <w:bCs/>
              </w:rPr>
            </w:pPr>
            <w:r>
              <w:rPr>
                <w:rFonts w:cstheme="minorHAnsi"/>
                <w:bCs/>
              </w:rPr>
              <w:t>Calvano</w:t>
            </w:r>
          </w:p>
        </w:tc>
        <w:tc>
          <w:tcPr>
            <w:tcW w:w="1408" w:type="dxa"/>
          </w:tcPr>
          <w:p w14:paraId="11EA3FFF" w14:textId="77777777" w:rsidR="00FE7E7E" w:rsidRPr="00DD5B07" w:rsidRDefault="00FE7E7E" w:rsidP="00FE7E7E">
            <w:pPr>
              <w:spacing w:after="120"/>
              <w:rPr>
                <w:rFonts w:cstheme="minorHAnsi"/>
                <w:bCs/>
              </w:rPr>
            </w:pPr>
          </w:p>
        </w:tc>
      </w:tr>
      <w:tr w:rsidR="0036150F" w:rsidRPr="00DD5B07" w14:paraId="7A3E2158" w14:textId="77777777" w:rsidTr="0036150F">
        <w:tc>
          <w:tcPr>
            <w:tcW w:w="7020" w:type="dxa"/>
          </w:tcPr>
          <w:p w14:paraId="0E3EDD43" w14:textId="7F3103F4" w:rsidR="0036150F" w:rsidRPr="0036150F" w:rsidRDefault="0036150F" w:rsidP="0036150F">
            <w:pPr>
              <w:spacing w:after="120"/>
              <w:rPr>
                <w:rFonts w:cstheme="minorHAnsi"/>
                <w:b/>
                <w:bCs/>
                <w:spacing w:val="-4"/>
              </w:rPr>
            </w:pPr>
            <w:r w:rsidRPr="0036150F">
              <w:rPr>
                <w:spacing w:val="-4"/>
              </w:rPr>
              <w:t xml:space="preserve">42) Sul piano cartografico, apportare perfezionamenti puntuali legati alla mancata trasposizione di alcune opere connesse delle previsioni autostradali, e, talora, ad imperfezioni grafiche o ad eccessive schematizzazioni nella configurazione di alcune opere singolari (svincoli e raccordi con la rete </w:t>
            </w:r>
            <w:r w:rsidRPr="0036150F">
              <w:rPr>
                <w:spacing w:val="-4"/>
                <w:sz w:val="23"/>
                <w:szCs w:val="23"/>
              </w:rPr>
              <w:t>ordinaria, come evidente - ad</w:t>
            </w:r>
            <w:r w:rsidRPr="0036150F">
              <w:rPr>
                <w:spacing w:val="-4"/>
                <w:sz w:val="23"/>
                <w:szCs w:val="23"/>
                <w:u w:val="single"/>
              </w:rPr>
              <w:t xml:space="preserve"> </w:t>
            </w:r>
            <w:r w:rsidRPr="0036150F">
              <w:rPr>
                <w:spacing w:val="-4"/>
                <w:sz w:val="23"/>
                <w:szCs w:val="23"/>
              </w:rPr>
              <w:t>esempio - nel disegno del nodo di attestazione dell’autostrada regionale sulla A22).</w:t>
            </w:r>
          </w:p>
        </w:tc>
        <w:tc>
          <w:tcPr>
            <w:tcW w:w="1200" w:type="dxa"/>
          </w:tcPr>
          <w:p w14:paraId="16AFC679" w14:textId="77777777" w:rsidR="0036150F" w:rsidRDefault="005F57AC" w:rsidP="0036150F">
            <w:pPr>
              <w:rPr>
                <w:rFonts w:cstheme="minorHAnsi"/>
                <w:bCs/>
              </w:rPr>
            </w:pPr>
            <w:r>
              <w:rPr>
                <w:rFonts w:cstheme="minorHAnsi"/>
                <w:bCs/>
              </w:rPr>
              <w:t>Fornari</w:t>
            </w:r>
          </w:p>
          <w:p w14:paraId="1CBB089E" w14:textId="225B1B5D" w:rsidR="005F57AC" w:rsidRPr="00DD5B07" w:rsidRDefault="005F57AC" w:rsidP="0036150F">
            <w:pPr>
              <w:rPr>
                <w:rFonts w:cstheme="minorHAnsi"/>
                <w:bCs/>
              </w:rPr>
            </w:pPr>
            <w:r>
              <w:rPr>
                <w:rFonts w:cstheme="minorHAnsi"/>
                <w:bCs/>
              </w:rPr>
              <w:t>Calvano</w:t>
            </w:r>
          </w:p>
        </w:tc>
        <w:tc>
          <w:tcPr>
            <w:tcW w:w="1408" w:type="dxa"/>
          </w:tcPr>
          <w:p w14:paraId="4E464E7E" w14:textId="77777777" w:rsidR="0036150F" w:rsidRPr="00DD5B07" w:rsidRDefault="0036150F" w:rsidP="0036150F">
            <w:pPr>
              <w:spacing w:after="120"/>
              <w:rPr>
                <w:rFonts w:cstheme="minorHAnsi"/>
                <w:bCs/>
              </w:rPr>
            </w:pPr>
          </w:p>
        </w:tc>
      </w:tr>
      <w:tr w:rsidR="0036150F" w:rsidRPr="00DD5B07" w14:paraId="1027865E" w14:textId="77777777" w:rsidTr="0036150F">
        <w:tc>
          <w:tcPr>
            <w:tcW w:w="7020" w:type="dxa"/>
          </w:tcPr>
          <w:p w14:paraId="06B205D2" w14:textId="1C1703FF" w:rsidR="0036150F" w:rsidRPr="0036150F" w:rsidRDefault="0036150F" w:rsidP="0036150F">
            <w:pPr>
              <w:rPr>
                <w:spacing w:val="-4"/>
              </w:rPr>
            </w:pPr>
            <w:r w:rsidRPr="0036150F">
              <w:rPr>
                <w:spacing w:val="-4"/>
              </w:rPr>
              <w:t>43) Verificare il completo e corretto recepimento degli interventi previsti nel:</w:t>
            </w:r>
          </w:p>
          <w:p w14:paraId="7695F3B2" w14:textId="77777777" w:rsidR="0036150F" w:rsidRPr="002B3A58" w:rsidRDefault="0036150F" w:rsidP="0036150F">
            <w:pPr>
              <w:pStyle w:val="Paragrafoelenco"/>
              <w:numPr>
                <w:ilvl w:val="0"/>
                <w:numId w:val="9"/>
              </w:numPr>
              <w:ind w:left="340" w:hanging="170"/>
              <w:jc w:val="both"/>
            </w:pPr>
            <w:r w:rsidRPr="002B3A58">
              <w:rPr>
                <w:i/>
                <w:iCs/>
              </w:rPr>
              <w:t>Programma degli interventi prioritari sulla rete viaria di interesse regionale</w:t>
            </w:r>
            <w:r w:rsidRPr="002B3A58">
              <w:t xml:space="preserve">, finanziato sia con risorse trasferite (fino al 2010) dallo Stato alla Regione ai sensi del D. Lgs. 112/98 che con fondi Regionali propri. L’aggiornamento 2020 del Programma è stato approvato con </w:t>
            </w:r>
            <w:proofErr w:type="spellStart"/>
            <w:r w:rsidRPr="002B3A58">
              <w:t>dGR</w:t>
            </w:r>
            <w:proofErr w:type="spellEnd"/>
            <w:r w:rsidRPr="002B3A58">
              <w:t xml:space="preserve"> n. XI/4008 del 14.12.2020; </w:t>
            </w:r>
          </w:p>
          <w:p w14:paraId="3C922A8D" w14:textId="55BE00FC" w:rsidR="0036150F" w:rsidRPr="0036150F" w:rsidRDefault="0036150F" w:rsidP="0036150F">
            <w:pPr>
              <w:pStyle w:val="Paragrafoelenco"/>
              <w:numPr>
                <w:ilvl w:val="0"/>
                <w:numId w:val="9"/>
              </w:numPr>
              <w:spacing w:after="120"/>
              <w:ind w:left="340" w:hanging="170"/>
              <w:jc w:val="both"/>
            </w:pPr>
            <w:r w:rsidRPr="002B3A58">
              <w:rPr>
                <w:i/>
                <w:iCs/>
              </w:rPr>
              <w:t>Programma degli interventi per la ripresa economica</w:t>
            </w:r>
            <w:r w:rsidRPr="002B3A58">
              <w:t xml:space="preserve">, approvato con </w:t>
            </w:r>
            <w:proofErr w:type="spellStart"/>
            <w:r w:rsidRPr="002B3A58">
              <w:t>dGR</w:t>
            </w:r>
            <w:proofErr w:type="spellEnd"/>
            <w:r w:rsidRPr="002B3A58">
              <w:t xml:space="preserve"> n. XI/3531 del 5.8.2020 ai sensi della l.r. 9/2020 e successive delibere modificative o attuative. Tale programma comprende, in particolare, la Variante di Goito, la cui attuazione è stata avviata da Regione Lombardia con </w:t>
            </w:r>
            <w:proofErr w:type="spellStart"/>
            <w:r w:rsidRPr="002B3A58">
              <w:t>dGR</w:t>
            </w:r>
            <w:proofErr w:type="spellEnd"/>
            <w:r w:rsidRPr="002B3A58">
              <w:t xml:space="preserve"> n. XI/5458 del 3.11.2021 mediante approvazione dello schema di Convenzione tra la Regione stessa, Concessioni Autostradali Lombarde S.p.A., Provincia di Mantova e Comune di Goito. </w:t>
            </w:r>
          </w:p>
        </w:tc>
        <w:tc>
          <w:tcPr>
            <w:tcW w:w="1200" w:type="dxa"/>
          </w:tcPr>
          <w:p w14:paraId="747BCA00" w14:textId="77777777" w:rsidR="0036150F" w:rsidRDefault="005F57AC" w:rsidP="0036150F">
            <w:pPr>
              <w:rPr>
                <w:rFonts w:cstheme="minorHAnsi"/>
                <w:bCs/>
              </w:rPr>
            </w:pPr>
            <w:r>
              <w:rPr>
                <w:rFonts w:cstheme="minorHAnsi"/>
                <w:bCs/>
              </w:rPr>
              <w:t>Fornari</w:t>
            </w:r>
          </w:p>
          <w:p w14:paraId="4E77272F" w14:textId="4B789E98" w:rsidR="005F57AC" w:rsidRPr="00DD5B07" w:rsidRDefault="005F57AC" w:rsidP="0036150F">
            <w:pPr>
              <w:rPr>
                <w:rFonts w:cstheme="minorHAnsi"/>
                <w:bCs/>
              </w:rPr>
            </w:pPr>
            <w:r>
              <w:rPr>
                <w:rFonts w:cstheme="minorHAnsi"/>
                <w:bCs/>
              </w:rPr>
              <w:t>Calvano</w:t>
            </w:r>
          </w:p>
        </w:tc>
        <w:tc>
          <w:tcPr>
            <w:tcW w:w="1408" w:type="dxa"/>
          </w:tcPr>
          <w:p w14:paraId="4C27063F" w14:textId="77777777" w:rsidR="0036150F" w:rsidRPr="00DD5B07" w:rsidRDefault="0036150F" w:rsidP="0036150F">
            <w:pPr>
              <w:spacing w:after="120"/>
              <w:rPr>
                <w:rFonts w:cstheme="minorHAnsi"/>
                <w:bCs/>
              </w:rPr>
            </w:pPr>
          </w:p>
        </w:tc>
      </w:tr>
      <w:tr w:rsidR="0036150F" w:rsidRPr="00DD5B07" w14:paraId="4CB9D1B5" w14:textId="77777777" w:rsidTr="0036150F">
        <w:tc>
          <w:tcPr>
            <w:tcW w:w="7020" w:type="dxa"/>
          </w:tcPr>
          <w:p w14:paraId="575A71B4" w14:textId="145D07D5" w:rsidR="0036150F" w:rsidRPr="00DD5B07" w:rsidRDefault="0036150F" w:rsidP="0036150F">
            <w:pPr>
              <w:spacing w:after="120"/>
              <w:rPr>
                <w:rFonts w:cstheme="minorHAnsi"/>
                <w:b/>
                <w:bCs/>
              </w:rPr>
            </w:pPr>
            <w:r w:rsidRPr="00FE53A2">
              <w:rPr>
                <w:rFonts w:cstheme="minorHAnsi"/>
                <w:b/>
                <w:bCs/>
                <w:i/>
                <w:iCs/>
                <w:sz w:val="23"/>
                <w:szCs w:val="23"/>
              </w:rPr>
              <w:t>b) Sistema ferroviario</w:t>
            </w:r>
          </w:p>
        </w:tc>
        <w:tc>
          <w:tcPr>
            <w:tcW w:w="1200" w:type="dxa"/>
          </w:tcPr>
          <w:p w14:paraId="43C8F104" w14:textId="77777777" w:rsidR="0036150F" w:rsidRPr="00DD5B07" w:rsidRDefault="0036150F" w:rsidP="0036150F">
            <w:pPr>
              <w:rPr>
                <w:rFonts w:cstheme="minorHAnsi"/>
                <w:bCs/>
              </w:rPr>
            </w:pPr>
          </w:p>
        </w:tc>
        <w:tc>
          <w:tcPr>
            <w:tcW w:w="1408" w:type="dxa"/>
          </w:tcPr>
          <w:p w14:paraId="0ED2EC24" w14:textId="77777777" w:rsidR="0036150F" w:rsidRPr="00DD5B07" w:rsidRDefault="0036150F" w:rsidP="0036150F">
            <w:pPr>
              <w:spacing w:after="120"/>
              <w:rPr>
                <w:rFonts w:cstheme="minorHAnsi"/>
                <w:bCs/>
              </w:rPr>
            </w:pPr>
          </w:p>
        </w:tc>
      </w:tr>
      <w:tr w:rsidR="0036150F" w:rsidRPr="00DD5B07" w14:paraId="3570009B" w14:textId="77777777" w:rsidTr="0036150F">
        <w:tc>
          <w:tcPr>
            <w:tcW w:w="7020" w:type="dxa"/>
          </w:tcPr>
          <w:p w14:paraId="0FAEE22D" w14:textId="500228F4" w:rsidR="0036150F" w:rsidRPr="00DD5B07" w:rsidRDefault="0036150F" w:rsidP="0036150F">
            <w:pPr>
              <w:spacing w:after="120"/>
              <w:rPr>
                <w:rFonts w:cstheme="minorHAnsi"/>
                <w:b/>
                <w:bCs/>
              </w:rPr>
            </w:pPr>
            <w:r w:rsidRPr="00FE53A2">
              <w:rPr>
                <w:rFonts w:cstheme="minorHAnsi"/>
                <w:i/>
                <w:iCs/>
                <w:sz w:val="23"/>
                <w:szCs w:val="23"/>
              </w:rPr>
              <w:t>nessuna osservazione particolare</w:t>
            </w:r>
          </w:p>
        </w:tc>
        <w:tc>
          <w:tcPr>
            <w:tcW w:w="1200" w:type="dxa"/>
          </w:tcPr>
          <w:p w14:paraId="43278E85" w14:textId="77777777" w:rsidR="0036150F" w:rsidRPr="00DD5B07" w:rsidRDefault="0036150F" w:rsidP="0036150F">
            <w:pPr>
              <w:rPr>
                <w:rFonts w:cstheme="minorHAnsi"/>
                <w:bCs/>
              </w:rPr>
            </w:pPr>
          </w:p>
        </w:tc>
        <w:tc>
          <w:tcPr>
            <w:tcW w:w="1408" w:type="dxa"/>
          </w:tcPr>
          <w:p w14:paraId="5F936AAB" w14:textId="77777777" w:rsidR="0036150F" w:rsidRPr="00DD5B07" w:rsidRDefault="0036150F" w:rsidP="0036150F">
            <w:pPr>
              <w:spacing w:after="120"/>
              <w:rPr>
                <w:rFonts w:cstheme="minorHAnsi"/>
                <w:bCs/>
              </w:rPr>
            </w:pPr>
          </w:p>
        </w:tc>
      </w:tr>
      <w:tr w:rsidR="0036150F" w:rsidRPr="00DD5B07" w14:paraId="38E3F445" w14:textId="77777777" w:rsidTr="0036150F">
        <w:tc>
          <w:tcPr>
            <w:tcW w:w="7020" w:type="dxa"/>
          </w:tcPr>
          <w:p w14:paraId="530ED3B0" w14:textId="7DEA09C7" w:rsidR="0036150F" w:rsidRPr="00DD5B07" w:rsidRDefault="0036150F" w:rsidP="0036150F">
            <w:pPr>
              <w:spacing w:after="120"/>
              <w:rPr>
                <w:rFonts w:cstheme="minorHAnsi"/>
                <w:b/>
                <w:bCs/>
              </w:rPr>
            </w:pPr>
            <w:r w:rsidRPr="00FE53A2">
              <w:rPr>
                <w:rFonts w:cstheme="minorHAnsi"/>
                <w:b/>
                <w:bCs/>
                <w:i/>
                <w:iCs/>
                <w:sz w:val="23"/>
                <w:szCs w:val="23"/>
              </w:rPr>
              <w:t>c) Intermodalità e logistica</w:t>
            </w:r>
          </w:p>
        </w:tc>
        <w:tc>
          <w:tcPr>
            <w:tcW w:w="1200" w:type="dxa"/>
          </w:tcPr>
          <w:p w14:paraId="7ADBE0C6" w14:textId="77777777" w:rsidR="0036150F" w:rsidRPr="00DD5B07" w:rsidRDefault="0036150F" w:rsidP="0036150F">
            <w:pPr>
              <w:rPr>
                <w:rFonts w:cstheme="minorHAnsi"/>
                <w:bCs/>
              </w:rPr>
            </w:pPr>
          </w:p>
        </w:tc>
        <w:tc>
          <w:tcPr>
            <w:tcW w:w="1408" w:type="dxa"/>
          </w:tcPr>
          <w:p w14:paraId="604B03F7" w14:textId="77777777" w:rsidR="0036150F" w:rsidRPr="00DD5B07" w:rsidRDefault="0036150F" w:rsidP="0036150F">
            <w:pPr>
              <w:spacing w:after="120"/>
              <w:rPr>
                <w:rFonts w:cstheme="minorHAnsi"/>
                <w:bCs/>
              </w:rPr>
            </w:pPr>
          </w:p>
        </w:tc>
      </w:tr>
      <w:tr w:rsidR="009D031F" w:rsidRPr="00DD5B07" w14:paraId="3A925A6B" w14:textId="77777777" w:rsidTr="0036150F">
        <w:tc>
          <w:tcPr>
            <w:tcW w:w="7020" w:type="dxa"/>
          </w:tcPr>
          <w:p w14:paraId="5DAB9D5F" w14:textId="3A1E44F0" w:rsidR="009D031F" w:rsidRDefault="0036150F" w:rsidP="00A45B02">
            <w:pPr>
              <w:keepNext/>
              <w:jc w:val="both"/>
            </w:pPr>
            <w:r>
              <w:lastRenderedPageBreak/>
              <w:t xml:space="preserve">44) </w:t>
            </w:r>
            <w:r w:rsidRPr="00DC7AA6">
              <w:t>con riferimento al Masterplan si osserva</w:t>
            </w:r>
            <w:r w:rsidR="005F57AC">
              <w:t xml:space="preserve"> che</w:t>
            </w:r>
            <w:r w:rsidRPr="00DC7AA6">
              <w:t>:</w:t>
            </w:r>
          </w:p>
          <w:p w14:paraId="1F63B998" w14:textId="27F6984A" w:rsidR="0036150F" w:rsidRPr="007633B1" w:rsidRDefault="0036150F" w:rsidP="00A45B02">
            <w:pPr>
              <w:keepNext/>
              <w:ind w:left="454" w:hanging="170"/>
              <w:jc w:val="both"/>
            </w:pPr>
            <w:r w:rsidRPr="007633B1">
              <w:t xml:space="preserve">1) nel 2014 Regione Lombardia ha avviato un processo di riforma della governance dei porti fluviali regionali di Mantova e Cremona (l.r. 24/2014 e regolamento attuativo 9/2015). In particolare, l’art. 54 del sopra citato regolamento, mutuando previsioni della legge 84/1994, dispone che l’autorità portuale rediga il piano regolatore portuale soggetto ad approvazione regionale. Considerato che allo stato attuale tale piano non risulta approvato da Regione, essendo tuttora in itinere il processo di nuova governance del porto di Mantova, si prende atto delle previsioni del masterplan ricadenti nell’area di intervento del piano regolatore portuale, evidenziando che queste dovranno essere attentamente valutate in sede di approvazione del piano regolatore portuale stesso, anche considerando la sostenibilità economico-finanziaria delle opere previste; </w:t>
            </w:r>
          </w:p>
          <w:p w14:paraId="1C1ED73B" w14:textId="3647869A" w:rsidR="0036150F" w:rsidRPr="0036150F" w:rsidRDefault="0036150F" w:rsidP="00A45B02">
            <w:pPr>
              <w:keepNext/>
              <w:spacing w:after="120"/>
              <w:ind w:left="454" w:hanging="170"/>
              <w:jc w:val="both"/>
            </w:pPr>
            <w:r w:rsidRPr="007633B1">
              <w:t xml:space="preserve">2) in riferimento agli interventi relativi ad attività intermodali poste all’esterno dell’area portuale, si ritengono positive le ipotesi progettuali che individuano previsioni di binari operativi di lunghezza fino a 750 m, ma, altresì, si rimanda ad un’attenta analisi di fattibilità tecnico-economica, anche alla luce dei possibili scenari di traffico, soprattutto laddove tali interventi abbiano ripercussioni sulle dotazioni infrastrutturali nell’area portuale (ad es. anello ferroviario). </w:t>
            </w:r>
          </w:p>
        </w:tc>
        <w:tc>
          <w:tcPr>
            <w:tcW w:w="1200" w:type="dxa"/>
          </w:tcPr>
          <w:p w14:paraId="7853C119" w14:textId="77777777" w:rsidR="009D031F" w:rsidRDefault="005F57AC" w:rsidP="00A45B02">
            <w:pPr>
              <w:keepNext/>
              <w:rPr>
                <w:rFonts w:cstheme="minorHAnsi"/>
                <w:bCs/>
              </w:rPr>
            </w:pPr>
            <w:r>
              <w:rPr>
                <w:rFonts w:cstheme="minorHAnsi"/>
                <w:bCs/>
              </w:rPr>
              <w:t>Molinari</w:t>
            </w:r>
          </w:p>
          <w:p w14:paraId="6633B5F1" w14:textId="4F09849D" w:rsidR="005F57AC" w:rsidRPr="00DD5B07" w:rsidRDefault="005F57AC" w:rsidP="00A45B02">
            <w:pPr>
              <w:keepNext/>
              <w:rPr>
                <w:rFonts w:cstheme="minorHAnsi"/>
                <w:bCs/>
              </w:rPr>
            </w:pPr>
            <w:r>
              <w:rPr>
                <w:rFonts w:cstheme="minorHAnsi"/>
                <w:bCs/>
              </w:rPr>
              <w:t>Fornari</w:t>
            </w:r>
          </w:p>
        </w:tc>
        <w:tc>
          <w:tcPr>
            <w:tcW w:w="1408" w:type="dxa"/>
          </w:tcPr>
          <w:p w14:paraId="68D7D1A3" w14:textId="77777777" w:rsidR="009D031F" w:rsidRPr="00DD5B07" w:rsidRDefault="009D031F" w:rsidP="00A45B02">
            <w:pPr>
              <w:keepNext/>
              <w:spacing w:after="120"/>
              <w:rPr>
                <w:rFonts w:cstheme="minorHAnsi"/>
                <w:bCs/>
              </w:rPr>
            </w:pPr>
          </w:p>
        </w:tc>
      </w:tr>
      <w:tr w:rsidR="005F57AC" w:rsidRPr="00DD5B07" w14:paraId="5F112D0D" w14:textId="77777777" w:rsidTr="0036150F">
        <w:tc>
          <w:tcPr>
            <w:tcW w:w="7020" w:type="dxa"/>
          </w:tcPr>
          <w:p w14:paraId="1BA38C8C" w14:textId="2BE2778E" w:rsidR="005F57AC" w:rsidRPr="00DD5B07" w:rsidRDefault="005F57AC" w:rsidP="005F57AC">
            <w:pPr>
              <w:spacing w:before="120" w:after="120"/>
              <w:rPr>
                <w:rFonts w:cstheme="minorHAnsi"/>
                <w:b/>
                <w:bCs/>
              </w:rPr>
            </w:pPr>
            <w:r w:rsidRPr="004B3884">
              <w:rPr>
                <w:rFonts w:cstheme="minorHAnsi"/>
                <w:b/>
                <w:bCs/>
                <w:i/>
                <w:iCs/>
                <w:sz w:val="23"/>
                <w:szCs w:val="23"/>
              </w:rPr>
              <w:t xml:space="preserve">DG ISTRUZIONE, UNIVERSITÀ, RICERCA, INNOVAZIONE E SEMPLIFICAZIONE </w:t>
            </w:r>
          </w:p>
        </w:tc>
        <w:tc>
          <w:tcPr>
            <w:tcW w:w="1200" w:type="dxa"/>
          </w:tcPr>
          <w:p w14:paraId="6C5389E2" w14:textId="77777777" w:rsidR="005F57AC" w:rsidRPr="00DD5B07" w:rsidRDefault="005F57AC" w:rsidP="005F57AC">
            <w:pPr>
              <w:spacing w:before="120" w:after="120"/>
              <w:rPr>
                <w:rFonts w:cstheme="minorHAnsi"/>
                <w:bCs/>
              </w:rPr>
            </w:pPr>
          </w:p>
        </w:tc>
        <w:tc>
          <w:tcPr>
            <w:tcW w:w="1408" w:type="dxa"/>
          </w:tcPr>
          <w:p w14:paraId="5BDD97B0" w14:textId="77777777" w:rsidR="005F57AC" w:rsidRPr="00DD5B07" w:rsidRDefault="005F57AC" w:rsidP="005F57AC">
            <w:pPr>
              <w:spacing w:before="120" w:after="120"/>
              <w:rPr>
                <w:rFonts w:cstheme="minorHAnsi"/>
                <w:bCs/>
              </w:rPr>
            </w:pPr>
          </w:p>
        </w:tc>
      </w:tr>
      <w:tr w:rsidR="005F57AC" w:rsidRPr="00DD5B07" w14:paraId="2492E9B8" w14:textId="77777777" w:rsidTr="0036150F">
        <w:tc>
          <w:tcPr>
            <w:tcW w:w="7020" w:type="dxa"/>
          </w:tcPr>
          <w:p w14:paraId="30FA3E11" w14:textId="2A11590E" w:rsidR="005F57AC" w:rsidRPr="00DD5B07" w:rsidRDefault="005F57AC" w:rsidP="005F57AC">
            <w:pPr>
              <w:spacing w:before="120" w:after="120"/>
              <w:rPr>
                <w:rFonts w:cstheme="minorHAnsi"/>
                <w:b/>
                <w:bCs/>
              </w:rPr>
            </w:pPr>
            <w:r w:rsidRPr="004B3884">
              <w:rPr>
                <w:rFonts w:cstheme="minorHAnsi"/>
                <w:b/>
                <w:bCs/>
                <w:i/>
                <w:iCs/>
                <w:sz w:val="23"/>
                <w:szCs w:val="23"/>
              </w:rPr>
              <w:t>UO Autorità di gestione POR-FESR 2014-2020 e Controlli</w:t>
            </w:r>
          </w:p>
        </w:tc>
        <w:tc>
          <w:tcPr>
            <w:tcW w:w="1200" w:type="dxa"/>
          </w:tcPr>
          <w:p w14:paraId="0B2BCCB3" w14:textId="77777777" w:rsidR="005F57AC" w:rsidRPr="00DD5B07" w:rsidRDefault="005F57AC" w:rsidP="005F57AC">
            <w:pPr>
              <w:spacing w:before="120" w:after="120"/>
              <w:rPr>
                <w:rFonts w:cstheme="minorHAnsi"/>
                <w:bCs/>
              </w:rPr>
            </w:pPr>
          </w:p>
        </w:tc>
        <w:tc>
          <w:tcPr>
            <w:tcW w:w="1408" w:type="dxa"/>
          </w:tcPr>
          <w:p w14:paraId="2A589D2F" w14:textId="77777777" w:rsidR="005F57AC" w:rsidRPr="00DD5B07" w:rsidRDefault="005F57AC" w:rsidP="005F57AC">
            <w:pPr>
              <w:spacing w:before="120" w:after="120"/>
              <w:rPr>
                <w:rFonts w:cstheme="minorHAnsi"/>
                <w:bCs/>
              </w:rPr>
            </w:pPr>
          </w:p>
        </w:tc>
      </w:tr>
      <w:tr w:rsidR="009D031F" w:rsidRPr="00A45B02" w14:paraId="49129413" w14:textId="77777777" w:rsidTr="0036150F">
        <w:tc>
          <w:tcPr>
            <w:tcW w:w="7020" w:type="dxa"/>
          </w:tcPr>
          <w:p w14:paraId="331D02EC" w14:textId="6B7F449D" w:rsidR="009D031F" w:rsidRPr="00A45B02" w:rsidRDefault="00A45B02" w:rsidP="00A45B02">
            <w:pPr>
              <w:jc w:val="both"/>
            </w:pPr>
            <w:r w:rsidRPr="00A45B02">
              <w:t xml:space="preserve">45) si segnala l’opportunità di richiamare nel PTCP, dentro il quadro complessivo della programmazione di settore regionale che ha ricadute sui temi del PTCP, quella riferita alle tematiche della Istruzione, Ricerca, Innovazione e semplificazione anche in considerazione del rilievo che viene attribuito loro dal PNRR nazionale (vedi pag. 25 e 26 del parere). </w:t>
            </w:r>
            <w:r w:rsidRPr="00A45B02">
              <w:rPr>
                <w:sz w:val="23"/>
                <w:szCs w:val="23"/>
              </w:rPr>
              <w:t xml:space="preserve">Si richiama in particolare, il concetto di </w:t>
            </w:r>
            <w:r w:rsidRPr="00A45B02">
              <w:rPr>
                <w:bCs/>
                <w:sz w:val="23"/>
                <w:szCs w:val="23"/>
              </w:rPr>
              <w:t xml:space="preserve">ecosistema, che potrebbe essere utilmente raccolto per stabilire delle connessioni con i 3 ATO </w:t>
            </w:r>
            <w:r w:rsidRPr="00A45B02">
              <w:rPr>
                <w:sz w:val="23"/>
                <w:szCs w:val="23"/>
              </w:rPr>
              <w:t>o le sue sub articolazioni provinciali</w:t>
            </w:r>
            <w:r>
              <w:rPr>
                <w:sz w:val="23"/>
                <w:szCs w:val="23"/>
              </w:rPr>
              <w:t>.</w:t>
            </w:r>
          </w:p>
        </w:tc>
        <w:tc>
          <w:tcPr>
            <w:tcW w:w="1200" w:type="dxa"/>
          </w:tcPr>
          <w:p w14:paraId="7B05F1B8" w14:textId="3D392477" w:rsidR="009D031F" w:rsidRPr="00A45B02" w:rsidRDefault="00A45B02" w:rsidP="008926AF">
            <w:pPr>
              <w:rPr>
                <w:rFonts w:cstheme="minorHAnsi"/>
                <w:bCs/>
              </w:rPr>
            </w:pPr>
            <w:r>
              <w:rPr>
                <w:rFonts w:cstheme="minorHAnsi"/>
                <w:bCs/>
              </w:rPr>
              <w:t>Molinari</w:t>
            </w:r>
          </w:p>
        </w:tc>
        <w:tc>
          <w:tcPr>
            <w:tcW w:w="1408" w:type="dxa"/>
          </w:tcPr>
          <w:p w14:paraId="2E1725D1" w14:textId="77777777" w:rsidR="009D031F" w:rsidRPr="00A45B02" w:rsidRDefault="009D031F" w:rsidP="008926AF">
            <w:pPr>
              <w:spacing w:after="120"/>
              <w:rPr>
                <w:rFonts w:cstheme="minorHAnsi"/>
                <w:bCs/>
              </w:rPr>
            </w:pPr>
          </w:p>
        </w:tc>
      </w:tr>
      <w:tr w:rsidR="009D031F" w:rsidRPr="00DD5B07" w14:paraId="1F378FEA" w14:textId="77777777" w:rsidTr="0036150F">
        <w:tc>
          <w:tcPr>
            <w:tcW w:w="7020" w:type="dxa"/>
          </w:tcPr>
          <w:p w14:paraId="68C76BE0" w14:textId="490A79E9" w:rsidR="009D031F" w:rsidRPr="00A45B02" w:rsidRDefault="00A45B02" w:rsidP="00A45B02">
            <w:pPr>
              <w:pStyle w:val="Default"/>
              <w:spacing w:before="120" w:after="120"/>
              <w:rPr>
                <w:rFonts w:asciiTheme="minorHAnsi" w:hAnsiTheme="minorHAnsi" w:cstheme="minorHAnsi"/>
                <w:b/>
                <w:bCs/>
                <w:i/>
                <w:iCs/>
                <w:sz w:val="23"/>
                <w:szCs w:val="23"/>
              </w:rPr>
            </w:pPr>
            <w:r w:rsidRPr="007633B1">
              <w:rPr>
                <w:rFonts w:asciiTheme="minorHAnsi" w:hAnsiTheme="minorHAnsi" w:cstheme="minorHAnsi"/>
                <w:b/>
                <w:bCs/>
                <w:i/>
                <w:iCs/>
                <w:sz w:val="23"/>
                <w:szCs w:val="23"/>
              </w:rPr>
              <w:t xml:space="preserve">DG WELFARE </w:t>
            </w:r>
          </w:p>
        </w:tc>
        <w:tc>
          <w:tcPr>
            <w:tcW w:w="1200" w:type="dxa"/>
          </w:tcPr>
          <w:p w14:paraId="45825B73" w14:textId="77777777" w:rsidR="009D031F" w:rsidRPr="00DD5B07" w:rsidRDefault="009D031F" w:rsidP="00A45B02">
            <w:pPr>
              <w:spacing w:before="120" w:after="120"/>
              <w:rPr>
                <w:rFonts w:cstheme="minorHAnsi"/>
                <w:bCs/>
              </w:rPr>
            </w:pPr>
          </w:p>
        </w:tc>
        <w:tc>
          <w:tcPr>
            <w:tcW w:w="1408" w:type="dxa"/>
          </w:tcPr>
          <w:p w14:paraId="34FB13E9" w14:textId="77777777" w:rsidR="009D031F" w:rsidRPr="00DD5B07" w:rsidRDefault="009D031F" w:rsidP="00A45B02">
            <w:pPr>
              <w:spacing w:before="120" w:after="120"/>
              <w:rPr>
                <w:rFonts w:cstheme="minorHAnsi"/>
                <w:bCs/>
              </w:rPr>
            </w:pPr>
          </w:p>
        </w:tc>
      </w:tr>
      <w:tr w:rsidR="009D031F" w:rsidRPr="00DD5B07" w14:paraId="49109B24" w14:textId="77777777" w:rsidTr="0036150F">
        <w:tc>
          <w:tcPr>
            <w:tcW w:w="7020" w:type="dxa"/>
          </w:tcPr>
          <w:p w14:paraId="3198B550" w14:textId="22845054" w:rsidR="009D031F" w:rsidRPr="00A45B02" w:rsidRDefault="00A45B02" w:rsidP="00A45B02">
            <w:pPr>
              <w:pStyle w:val="Default"/>
              <w:spacing w:before="120" w:after="120"/>
              <w:rPr>
                <w:rFonts w:asciiTheme="minorHAnsi" w:hAnsiTheme="minorHAnsi" w:cstheme="minorHAnsi"/>
                <w:b/>
                <w:bCs/>
                <w:i/>
                <w:iCs/>
                <w:sz w:val="23"/>
                <w:szCs w:val="23"/>
              </w:rPr>
            </w:pPr>
            <w:r w:rsidRPr="007633B1">
              <w:rPr>
                <w:rFonts w:asciiTheme="minorHAnsi" w:hAnsiTheme="minorHAnsi" w:cstheme="minorHAnsi"/>
                <w:b/>
                <w:bCs/>
                <w:i/>
                <w:iCs/>
                <w:sz w:val="23"/>
                <w:szCs w:val="23"/>
              </w:rPr>
              <w:t>UO Prevenzione - Struttura Ambienti di Vita e di Lavoro</w:t>
            </w:r>
          </w:p>
        </w:tc>
        <w:tc>
          <w:tcPr>
            <w:tcW w:w="1200" w:type="dxa"/>
          </w:tcPr>
          <w:p w14:paraId="4A708578" w14:textId="77777777" w:rsidR="009D031F" w:rsidRPr="00DD5B07" w:rsidRDefault="009D031F" w:rsidP="00A45B02">
            <w:pPr>
              <w:spacing w:before="120" w:after="120"/>
              <w:rPr>
                <w:rFonts w:cstheme="minorHAnsi"/>
                <w:bCs/>
              </w:rPr>
            </w:pPr>
          </w:p>
        </w:tc>
        <w:tc>
          <w:tcPr>
            <w:tcW w:w="1408" w:type="dxa"/>
          </w:tcPr>
          <w:p w14:paraId="59BD2A67" w14:textId="77777777" w:rsidR="009D031F" w:rsidRPr="00DD5B07" w:rsidRDefault="009D031F" w:rsidP="00A45B02">
            <w:pPr>
              <w:spacing w:before="120" w:after="120"/>
              <w:rPr>
                <w:rFonts w:cstheme="minorHAnsi"/>
                <w:bCs/>
              </w:rPr>
            </w:pPr>
          </w:p>
        </w:tc>
      </w:tr>
      <w:tr w:rsidR="00A45B02" w:rsidRPr="00DD5B07" w14:paraId="254FE7CF" w14:textId="77777777" w:rsidTr="0036150F">
        <w:tc>
          <w:tcPr>
            <w:tcW w:w="7020" w:type="dxa"/>
          </w:tcPr>
          <w:p w14:paraId="1D1C993C" w14:textId="077B6E30" w:rsidR="00A45B02" w:rsidRPr="00DD5B07" w:rsidRDefault="00A45B02" w:rsidP="00A45B02">
            <w:pPr>
              <w:spacing w:after="120"/>
              <w:rPr>
                <w:rFonts w:cstheme="minorHAnsi"/>
                <w:b/>
                <w:bCs/>
              </w:rPr>
            </w:pPr>
            <w:r>
              <w:t xml:space="preserve">46) </w:t>
            </w:r>
            <w:r w:rsidRPr="00C906F8">
              <w:t xml:space="preserve">In riferimento a riduzione del consumo di suolo e rigenerazione, che sono i focus principali del piano in oggetto, si richiama l’opportunità di considerare la rigenerazione del patrimonio edificato dismesso come occasione per rendere i sistemi urbani </w:t>
            </w:r>
            <w:proofErr w:type="spellStart"/>
            <w:r w:rsidRPr="00C906F8">
              <w:t>salutogenici</w:t>
            </w:r>
            <w:proofErr w:type="spellEnd"/>
            <w:r w:rsidRPr="00C906F8">
              <w:t xml:space="preserve">, migliorandone la resilienza attraverso piani e progetti che integrino salute, clima e ambiente, contrastando gli effetti dei cambiamenti climatici nei sistemi urbani e territoriali, a salvaguardia della salute in primis dei soggetti vulnerabili, contribuendo a ridurre inquinamento e a mitigare gli impatti delle attività umane sugli ecosistemi e la biodiversità. </w:t>
            </w:r>
            <w:r w:rsidRPr="00C906F8">
              <w:rPr>
                <w:sz w:val="23"/>
                <w:szCs w:val="23"/>
              </w:rPr>
              <w:t xml:space="preserve">A titolo di esempio, nell’ampio contesto dell’approccio </w:t>
            </w:r>
            <w:r w:rsidRPr="00C906F8">
              <w:rPr>
                <w:i/>
                <w:iCs/>
                <w:sz w:val="23"/>
                <w:szCs w:val="23"/>
              </w:rPr>
              <w:t>Urban Health</w:t>
            </w:r>
            <w:r w:rsidRPr="00C906F8">
              <w:rPr>
                <w:sz w:val="23"/>
                <w:szCs w:val="23"/>
              </w:rPr>
              <w:t xml:space="preserve">, si richiama l’impiego del verde - in architettura come verde tecnico ed in urbanistica come infrastruttura verde territoriale - per migliorare la gestione degli effetti della crisi climatica, quali isole di calore urbano ed eventi climatici estremi – </w:t>
            </w:r>
            <w:r w:rsidRPr="00C906F8">
              <w:rPr>
                <w:sz w:val="23"/>
                <w:szCs w:val="23"/>
              </w:rPr>
              <w:lastRenderedPageBreak/>
              <w:t xml:space="preserve">ovvero, in primis, per contrastare emergenze ambientali e sanitarie, oltre che per migliorare la qualità di vita dei cittadini. Tale priorità deve trovare una concreta declinazione ed attuazione nell’ambito dei PGT e di altri piani/regolamenti locali con riguardo gli indici di permeabilità territoriale e al </w:t>
            </w:r>
            <w:proofErr w:type="spellStart"/>
            <w:r w:rsidRPr="00C906F8">
              <w:rPr>
                <w:i/>
                <w:iCs/>
                <w:sz w:val="23"/>
                <w:szCs w:val="23"/>
              </w:rPr>
              <w:t>tree</w:t>
            </w:r>
            <w:proofErr w:type="spellEnd"/>
            <w:r w:rsidRPr="00C906F8">
              <w:rPr>
                <w:i/>
                <w:iCs/>
                <w:sz w:val="23"/>
                <w:szCs w:val="23"/>
              </w:rPr>
              <w:t xml:space="preserve"> </w:t>
            </w:r>
            <w:proofErr w:type="spellStart"/>
            <w:r w:rsidRPr="00C906F8">
              <w:rPr>
                <w:i/>
                <w:iCs/>
                <w:sz w:val="23"/>
                <w:szCs w:val="23"/>
              </w:rPr>
              <w:t>canopy</w:t>
            </w:r>
            <w:proofErr w:type="spellEnd"/>
            <w:r w:rsidRPr="00C906F8">
              <w:rPr>
                <w:sz w:val="23"/>
                <w:szCs w:val="23"/>
              </w:rPr>
              <w:t>. Il Piano territoriale di coordinamento provinciale costituisce uno strumento di fondamentale importanza per contribuire a veicolare simili contenuti dal livello regionale a quello locale.</w:t>
            </w:r>
          </w:p>
        </w:tc>
        <w:tc>
          <w:tcPr>
            <w:tcW w:w="1200" w:type="dxa"/>
          </w:tcPr>
          <w:p w14:paraId="1E54635E" w14:textId="77777777" w:rsidR="00A45B02" w:rsidRDefault="00A45B02" w:rsidP="00A45B02">
            <w:pPr>
              <w:rPr>
                <w:rFonts w:cstheme="minorHAnsi"/>
                <w:bCs/>
              </w:rPr>
            </w:pPr>
            <w:r>
              <w:rPr>
                <w:rFonts w:cstheme="minorHAnsi"/>
                <w:bCs/>
              </w:rPr>
              <w:lastRenderedPageBreak/>
              <w:t>Redolfi</w:t>
            </w:r>
          </w:p>
          <w:p w14:paraId="6D2F4E83" w14:textId="326A5D88" w:rsidR="00A45B02" w:rsidRPr="00DD5B07" w:rsidRDefault="00A45B02" w:rsidP="00A45B02">
            <w:pPr>
              <w:rPr>
                <w:rFonts w:cstheme="minorHAnsi"/>
                <w:bCs/>
              </w:rPr>
            </w:pPr>
            <w:r>
              <w:rPr>
                <w:rFonts w:cstheme="minorHAnsi"/>
                <w:bCs/>
              </w:rPr>
              <w:t>Calvano</w:t>
            </w:r>
          </w:p>
        </w:tc>
        <w:tc>
          <w:tcPr>
            <w:tcW w:w="1408" w:type="dxa"/>
          </w:tcPr>
          <w:p w14:paraId="4AE3EEE0" w14:textId="77777777" w:rsidR="00A45B02" w:rsidRPr="00DD5B07" w:rsidRDefault="00A45B02" w:rsidP="00A45B02">
            <w:pPr>
              <w:spacing w:after="120"/>
              <w:rPr>
                <w:rFonts w:cstheme="minorHAnsi"/>
                <w:bCs/>
              </w:rPr>
            </w:pPr>
          </w:p>
        </w:tc>
      </w:tr>
      <w:tr w:rsidR="00A45B02" w:rsidRPr="00DD5B07" w14:paraId="6BD25612" w14:textId="77777777" w:rsidTr="0036150F">
        <w:tc>
          <w:tcPr>
            <w:tcW w:w="7020" w:type="dxa"/>
          </w:tcPr>
          <w:p w14:paraId="057CC147" w14:textId="5AD5E37A" w:rsidR="00A45B02" w:rsidRPr="00DD5B07" w:rsidRDefault="00A45B02" w:rsidP="00A45B02">
            <w:pPr>
              <w:spacing w:after="120"/>
              <w:rPr>
                <w:rFonts w:cstheme="minorHAnsi"/>
                <w:b/>
                <w:bCs/>
              </w:rPr>
            </w:pPr>
            <w:r>
              <w:t xml:space="preserve">47) </w:t>
            </w:r>
            <w:r w:rsidRPr="00C906F8">
              <w:t>MASTERPLAN: tra gli obiettivi da perseguire dovrà essere prioritaria la minimizzazione del rischio sanitario</w:t>
            </w:r>
            <w:r>
              <w:t>.</w:t>
            </w:r>
          </w:p>
        </w:tc>
        <w:tc>
          <w:tcPr>
            <w:tcW w:w="1200" w:type="dxa"/>
          </w:tcPr>
          <w:p w14:paraId="1E0F6270" w14:textId="37665530" w:rsidR="00A45B02" w:rsidRPr="00DD5B07" w:rsidRDefault="00A45B02" w:rsidP="00A45B02">
            <w:pPr>
              <w:rPr>
                <w:rFonts w:cstheme="minorHAnsi"/>
                <w:bCs/>
              </w:rPr>
            </w:pPr>
            <w:r>
              <w:rPr>
                <w:rFonts w:cstheme="minorHAnsi"/>
                <w:bCs/>
              </w:rPr>
              <w:t>Molinari</w:t>
            </w:r>
          </w:p>
        </w:tc>
        <w:tc>
          <w:tcPr>
            <w:tcW w:w="1408" w:type="dxa"/>
          </w:tcPr>
          <w:p w14:paraId="4F402B84" w14:textId="77777777" w:rsidR="00A45B02" w:rsidRPr="00DD5B07" w:rsidRDefault="00A45B02" w:rsidP="00A45B02">
            <w:pPr>
              <w:spacing w:after="120"/>
              <w:rPr>
                <w:rFonts w:cstheme="minorHAnsi"/>
                <w:bCs/>
              </w:rPr>
            </w:pPr>
          </w:p>
        </w:tc>
      </w:tr>
    </w:tbl>
    <w:p w14:paraId="19C83569" w14:textId="77777777" w:rsidR="008047F2" w:rsidRPr="003B0EB7" w:rsidRDefault="008047F2">
      <w:pPr>
        <w:rPr>
          <w:rFonts w:cstheme="minorHAnsi"/>
          <w:b/>
          <w:bCs/>
        </w:rPr>
      </w:pPr>
    </w:p>
    <w:sectPr w:rsidR="008047F2" w:rsidRPr="003B0EB7" w:rsidSect="0036150F">
      <w:pgSz w:w="11906" w:h="16838" w:code="9"/>
      <w:pgMar w:top="1134" w:right="1134" w:bottom="1134" w:left="1134" w:header="284" w:footer="284"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9F122EA9"/>
    <w:multiLevelType w:val="hybridMultilevel"/>
    <w:tmpl w:val="C385EFF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2B"/>
    <w:multiLevelType w:val="hybridMultilevel"/>
    <w:tmpl w:val="7644A45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2B87EFC"/>
    <w:multiLevelType w:val="hybridMultilevel"/>
    <w:tmpl w:val="C3F89B5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E023682"/>
    <w:multiLevelType w:val="hybridMultilevel"/>
    <w:tmpl w:val="9912E6BE"/>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48047AA9"/>
    <w:multiLevelType w:val="hybridMultilevel"/>
    <w:tmpl w:val="0C4655FE"/>
    <w:lvl w:ilvl="0" w:tplc="FFFFFFFF">
      <w:start w:val="1"/>
      <w:numFmt w:val="bullet"/>
      <w:lvlText w:val="-"/>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5E9F389D"/>
    <w:multiLevelType w:val="multilevel"/>
    <w:tmpl w:val="44F4C196"/>
    <w:lvl w:ilvl="0">
      <w:start w:val="3"/>
      <w:numFmt w:val="decimal"/>
      <w:lvlText w:val="%1"/>
      <w:lvlJc w:val="left"/>
      <w:pPr>
        <w:ind w:left="360" w:hanging="360"/>
      </w:pPr>
      <w:rPr>
        <w:rFonts w:hint="default"/>
        <w:b w:val="0"/>
        <w:u w:val="single"/>
      </w:rPr>
    </w:lvl>
    <w:lvl w:ilvl="1">
      <w:start w:val="1"/>
      <w:numFmt w:val="decimal"/>
      <w:lvlText w:val="%1.%2"/>
      <w:lvlJc w:val="left"/>
      <w:pPr>
        <w:ind w:left="360" w:hanging="360"/>
      </w:pPr>
      <w:rPr>
        <w:rFonts w:hint="default"/>
        <w:b w:val="0"/>
        <w:u w:val="single"/>
      </w:rPr>
    </w:lvl>
    <w:lvl w:ilvl="2">
      <w:start w:val="1"/>
      <w:numFmt w:val="decimal"/>
      <w:lvlText w:val="%1.%2.%3"/>
      <w:lvlJc w:val="left"/>
      <w:pPr>
        <w:ind w:left="720" w:hanging="720"/>
      </w:pPr>
      <w:rPr>
        <w:rFonts w:hint="default"/>
        <w:b w:val="0"/>
        <w:u w:val="single"/>
      </w:rPr>
    </w:lvl>
    <w:lvl w:ilvl="3">
      <w:start w:val="1"/>
      <w:numFmt w:val="decimal"/>
      <w:lvlText w:val="%1.%2.%3.%4"/>
      <w:lvlJc w:val="left"/>
      <w:pPr>
        <w:ind w:left="720" w:hanging="720"/>
      </w:pPr>
      <w:rPr>
        <w:rFonts w:hint="default"/>
        <w:b w:val="0"/>
        <w:u w:val="singl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440" w:hanging="1440"/>
      </w:pPr>
      <w:rPr>
        <w:rFonts w:hint="default"/>
        <w:b w:val="0"/>
        <w:u w:val="single"/>
      </w:rPr>
    </w:lvl>
    <w:lvl w:ilvl="8">
      <w:start w:val="1"/>
      <w:numFmt w:val="decimal"/>
      <w:lvlText w:val="%1.%2.%3.%4.%5.%6.%7.%8.%9"/>
      <w:lvlJc w:val="left"/>
      <w:pPr>
        <w:ind w:left="1440" w:hanging="1440"/>
      </w:pPr>
      <w:rPr>
        <w:rFonts w:hint="default"/>
        <w:b w:val="0"/>
        <w:u w:val="single"/>
      </w:rPr>
    </w:lvl>
  </w:abstractNum>
  <w:abstractNum w:abstractNumId="6" w15:restartNumberingAfterBreak="0">
    <w:nsid w:val="6DBE6254"/>
    <w:multiLevelType w:val="hybridMultilevel"/>
    <w:tmpl w:val="E294FE1C"/>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7" w15:restartNumberingAfterBreak="0">
    <w:nsid w:val="7D877EB8"/>
    <w:multiLevelType w:val="multilevel"/>
    <w:tmpl w:val="68E47B28"/>
    <w:lvl w:ilvl="0">
      <w:start w:val="3"/>
      <w:numFmt w:val="decimal"/>
      <w:lvlText w:val="%1"/>
      <w:lvlJc w:val="left"/>
      <w:pPr>
        <w:ind w:left="360" w:hanging="360"/>
      </w:pPr>
      <w:rPr>
        <w:rFonts w:hint="default"/>
        <w:b w:val="0"/>
        <w:u w:val="single"/>
      </w:rPr>
    </w:lvl>
    <w:lvl w:ilvl="1">
      <w:start w:val="1"/>
      <w:numFmt w:val="decimal"/>
      <w:lvlText w:val="%1.%2"/>
      <w:lvlJc w:val="left"/>
      <w:pPr>
        <w:ind w:left="360" w:hanging="360"/>
      </w:pPr>
      <w:rPr>
        <w:rFonts w:hint="default"/>
        <w:b w:val="0"/>
        <w:u w:val="single"/>
      </w:rPr>
    </w:lvl>
    <w:lvl w:ilvl="2">
      <w:start w:val="1"/>
      <w:numFmt w:val="decimal"/>
      <w:lvlText w:val="%1.%2.%3"/>
      <w:lvlJc w:val="left"/>
      <w:pPr>
        <w:ind w:left="720" w:hanging="720"/>
      </w:pPr>
      <w:rPr>
        <w:rFonts w:hint="default"/>
        <w:b w:val="0"/>
        <w:u w:val="single"/>
      </w:rPr>
    </w:lvl>
    <w:lvl w:ilvl="3">
      <w:start w:val="1"/>
      <w:numFmt w:val="decimal"/>
      <w:lvlText w:val="%1.%2.%3.%4"/>
      <w:lvlJc w:val="left"/>
      <w:pPr>
        <w:ind w:left="720" w:hanging="720"/>
      </w:pPr>
      <w:rPr>
        <w:rFonts w:hint="default"/>
        <w:b w:val="0"/>
        <w:u w:val="singl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440" w:hanging="1440"/>
      </w:pPr>
      <w:rPr>
        <w:rFonts w:hint="default"/>
        <w:b w:val="0"/>
        <w:u w:val="single"/>
      </w:rPr>
    </w:lvl>
    <w:lvl w:ilvl="8">
      <w:start w:val="1"/>
      <w:numFmt w:val="decimal"/>
      <w:lvlText w:val="%1.%2.%3.%4.%5.%6.%7.%8.%9"/>
      <w:lvlJc w:val="left"/>
      <w:pPr>
        <w:ind w:left="1800" w:hanging="1800"/>
      </w:pPr>
      <w:rPr>
        <w:rFonts w:hint="default"/>
        <w:b w:val="0"/>
        <w:u w:val="single"/>
      </w:rPr>
    </w:lvl>
  </w:abstractNum>
  <w:num w:numId="1">
    <w:abstractNumId w:val="2"/>
  </w:num>
  <w:num w:numId="2">
    <w:abstractNumId w:val="6"/>
  </w:num>
  <w:num w:numId="3">
    <w:abstractNumId w:val="0"/>
  </w:num>
  <w:num w:numId="4">
    <w:abstractNumId w:val="3"/>
  </w:num>
  <w:num w:numId="5">
    <w:abstractNumId w:val="5"/>
  </w:num>
  <w:num w:numId="6">
    <w:abstractNumId w:val="7"/>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4045"/>
    <w:rsid w:val="00014292"/>
    <w:rsid w:val="000510A7"/>
    <w:rsid w:val="00074045"/>
    <w:rsid w:val="00131B98"/>
    <w:rsid w:val="00144B9D"/>
    <w:rsid w:val="001B42CD"/>
    <w:rsid w:val="001B6603"/>
    <w:rsid w:val="001D7B43"/>
    <w:rsid w:val="00210AB6"/>
    <w:rsid w:val="00253B70"/>
    <w:rsid w:val="002A2D31"/>
    <w:rsid w:val="002B3A58"/>
    <w:rsid w:val="003210B8"/>
    <w:rsid w:val="0033362F"/>
    <w:rsid w:val="00343E61"/>
    <w:rsid w:val="0036150F"/>
    <w:rsid w:val="003B0EB7"/>
    <w:rsid w:val="003C6F8E"/>
    <w:rsid w:val="0049363A"/>
    <w:rsid w:val="004F1F7E"/>
    <w:rsid w:val="004F706A"/>
    <w:rsid w:val="00571DA5"/>
    <w:rsid w:val="005F57AC"/>
    <w:rsid w:val="006578F9"/>
    <w:rsid w:val="00687B28"/>
    <w:rsid w:val="006A6273"/>
    <w:rsid w:val="006A7522"/>
    <w:rsid w:val="006B59ED"/>
    <w:rsid w:val="006B7B17"/>
    <w:rsid w:val="0073682B"/>
    <w:rsid w:val="007633B1"/>
    <w:rsid w:val="008047F2"/>
    <w:rsid w:val="008234B9"/>
    <w:rsid w:val="00896638"/>
    <w:rsid w:val="008E50C9"/>
    <w:rsid w:val="00912148"/>
    <w:rsid w:val="009D031F"/>
    <w:rsid w:val="00A2081D"/>
    <w:rsid w:val="00A45B02"/>
    <w:rsid w:val="00AC5DFD"/>
    <w:rsid w:val="00B16501"/>
    <w:rsid w:val="00B537BC"/>
    <w:rsid w:val="00BC2922"/>
    <w:rsid w:val="00C01F48"/>
    <w:rsid w:val="00C93982"/>
    <w:rsid w:val="00CF7F12"/>
    <w:rsid w:val="00D5115B"/>
    <w:rsid w:val="00DA7D6D"/>
    <w:rsid w:val="00DC4B3B"/>
    <w:rsid w:val="00DC7AA6"/>
    <w:rsid w:val="00DD38FF"/>
    <w:rsid w:val="00DD5B07"/>
    <w:rsid w:val="00E90EC4"/>
    <w:rsid w:val="00EC2290"/>
    <w:rsid w:val="00ED3AE0"/>
    <w:rsid w:val="00EE5F3D"/>
    <w:rsid w:val="00FE3A82"/>
    <w:rsid w:val="00FE7E7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DBBFE3"/>
  <w15:docId w15:val="{EB273679-47BC-4131-8788-959C243D6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A2D31"/>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3210B8"/>
    <w:pPr>
      <w:ind w:left="720"/>
      <w:contextualSpacing/>
    </w:pPr>
  </w:style>
  <w:style w:type="paragraph" w:customStyle="1" w:styleId="Default">
    <w:name w:val="Default"/>
    <w:rsid w:val="00DC4B3B"/>
    <w:pPr>
      <w:autoSpaceDE w:val="0"/>
      <w:autoSpaceDN w:val="0"/>
      <w:adjustRightInd w:val="0"/>
      <w:spacing w:after="0" w:line="240" w:lineRule="auto"/>
    </w:pPr>
    <w:rPr>
      <w:rFonts w:ascii="Arial" w:hAnsi="Arial" w:cs="Arial"/>
      <w:color w:val="000000"/>
      <w:sz w:val="24"/>
      <w:szCs w:val="24"/>
    </w:rPr>
  </w:style>
  <w:style w:type="table" w:styleId="Grigliatabella">
    <w:name w:val="Table Grid"/>
    <w:basedOn w:val="Tabellanormale"/>
    <w:uiPriority w:val="39"/>
    <w:rsid w:val="008047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4463076">
      <w:bodyDiv w:val="1"/>
      <w:marLeft w:val="0"/>
      <w:marRight w:val="0"/>
      <w:marTop w:val="0"/>
      <w:marBottom w:val="0"/>
      <w:divBdr>
        <w:top w:val="none" w:sz="0" w:space="0" w:color="auto"/>
        <w:left w:val="none" w:sz="0" w:space="0" w:color="auto"/>
        <w:bottom w:val="none" w:sz="0" w:space="0" w:color="auto"/>
        <w:right w:val="none" w:sz="0" w:space="0" w:color="auto"/>
      </w:divBdr>
    </w:div>
    <w:div w:id="343363995">
      <w:bodyDiv w:val="1"/>
      <w:marLeft w:val="0"/>
      <w:marRight w:val="0"/>
      <w:marTop w:val="0"/>
      <w:marBottom w:val="0"/>
      <w:divBdr>
        <w:top w:val="none" w:sz="0" w:space="0" w:color="auto"/>
        <w:left w:val="none" w:sz="0" w:space="0" w:color="auto"/>
        <w:bottom w:val="none" w:sz="0" w:space="0" w:color="auto"/>
        <w:right w:val="none" w:sz="0" w:space="0" w:color="auto"/>
      </w:divBdr>
    </w:div>
    <w:div w:id="439182394">
      <w:bodyDiv w:val="1"/>
      <w:marLeft w:val="0"/>
      <w:marRight w:val="0"/>
      <w:marTop w:val="0"/>
      <w:marBottom w:val="0"/>
      <w:divBdr>
        <w:top w:val="none" w:sz="0" w:space="0" w:color="auto"/>
        <w:left w:val="none" w:sz="0" w:space="0" w:color="auto"/>
        <w:bottom w:val="none" w:sz="0" w:space="0" w:color="auto"/>
        <w:right w:val="none" w:sz="0" w:space="0" w:color="auto"/>
      </w:divBdr>
    </w:div>
    <w:div w:id="1111781118">
      <w:bodyDiv w:val="1"/>
      <w:marLeft w:val="0"/>
      <w:marRight w:val="0"/>
      <w:marTop w:val="0"/>
      <w:marBottom w:val="0"/>
      <w:divBdr>
        <w:top w:val="none" w:sz="0" w:space="0" w:color="auto"/>
        <w:left w:val="none" w:sz="0" w:space="0" w:color="auto"/>
        <w:bottom w:val="none" w:sz="0" w:space="0" w:color="auto"/>
        <w:right w:val="none" w:sz="0" w:space="0" w:color="auto"/>
      </w:divBdr>
    </w:div>
    <w:div w:id="1195145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8</Pages>
  <Words>3223</Words>
  <Characters>18373</Characters>
  <Application>Microsoft Office Word</Application>
  <DocSecurity>0</DocSecurity>
  <Lines>153</Lines>
  <Paragraphs>43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21553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 Molinari</dc:creator>
  <cp:keywords/>
  <dc:description/>
  <cp:lastModifiedBy>Elena Molinari</cp:lastModifiedBy>
  <cp:revision>2</cp:revision>
  <dcterms:created xsi:type="dcterms:W3CDTF">2021-12-03T07:46:00Z</dcterms:created>
  <dcterms:modified xsi:type="dcterms:W3CDTF">2021-12-03T07:46:00Z</dcterms:modified>
</cp:coreProperties>
</file>